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0"/>
        <w:gridCol w:w="12469"/>
      </w:tblGrid>
      <w:tr w:rsidR="00FE1008" w:rsidRPr="00FE1008" w:rsidTr="00C86E3A">
        <w:trPr>
          <w:jc w:val="center"/>
        </w:trPr>
        <w:tc>
          <w:tcPr>
            <w:tcW w:w="27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Naziv specijalizacije</w:t>
            </w:r>
          </w:p>
        </w:tc>
        <w:tc>
          <w:tcPr>
            <w:tcW w:w="12469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Gastroenterologija</w:t>
            </w:r>
          </w:p>
        </w:tc>
      </w:tr>
      <w:tr w:rsidR="00FE1008" w:rsidRPr="00FE1008" w:rsidTr="00C86E3A">
        <w:trPr>
          <w:jc w:val="center"/>
        </w:trPr>
        <w:tc>
          <w:tcPr>
            <w:tcW w:w="27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Naziv koji se stječe polaganjem specijalističkog ispita</w:t>
            </w:r>
          </w:p>
        </w:tc>
        <w:tc>
          <w:tcPr>
            <w:tcW w:w="12469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gastroenterologije</w:t>
            </w:r>
          </w:p>
        </w:tc>
      </w:tr>
      <w:tr w:rsidR="00FE1008" w:rsidRPr="00FE1008" w:rsidTr="00C86E3A">
        <w:trPr>
          <w:jc w:val="center"/>
        </w:trPr>
        <w:tc>
          <w:tcPr>
            <w:tcW w:w="27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2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Trajanje specijalizacije</w:t>
            </w:r>
          </w:p>
        </w:tc>
        <w:tc>
          <w:tcPr>
            <w:tcW w:w="12469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60 mjeseci (5 godina)    </w:t>
            </w:r>
          </w:p>
        </w:tc>
      </w:tr>
      <w:tr w:rsidR="00FE1008" w:rsidRPr="00FE1008" w:rsidTr="00C86E3A">
        <w:trPr>
          <w:jc w:val="center"/>
        </w:trPr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Program specijalizacije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</w:tc>
        <w:tc>
          <w:tcPr>
            <w:tcW w:w="12469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Zajedničko internističko „deblo“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- 22 mjeseca  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1. Kardiologija - 2 mjeseca i 3 tjedna     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2. Gastroenterologija –  2 mjeseca i 3 tjedna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3. Endokrinologija i dijabetologija - 2,5 mjeseca             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4. Pulmologija –  2 mjeseca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5. Nefrologija - 2,5 mjeseca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6. Hematologija – 2 mjeseca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7. Transfuziologija - 2 tjedna</w:t>
            </w:r>
          </w:p>
          <w:p w:rsidR="00FE1008" w:rsidRPr="00FE1008" w:rsidRDefault="00FE1008" w:rsidP="00FE1008">
            <w:pPr>
              <w:tabs>
                <w:tab w:val="left" w:pos="6372"/>
                <w:tab w:val="left" w:pos="6732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8. Alergologija i klinička imunologija- 1 mjesec</w:t>
            </w:r>
          </w:p>
          <w:p w:rsidR="00FE1008" w:rsidRPr="00FE1008" w:rsidRDefault="00FE1008" w:rsidP="00FE1008">
            <w:pPr>
              <w:tabs>
                <w:tab w:val="left" w:pos="6372"/>
                <w:tab w:val="left" w:pos="6732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9. Reumatologija - 2 mjeseca  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10. Intenzivna i hitna medicina - 1.5 mjesec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11. Internistička onkologija – 1 mjesec</w:t>
            </w:r>
          </w:p>
          <w:p w:rsidR="00FE1008" w:rsidRPr="00FE1008" w:rsidRDefault="00FE1008" w:rsidP="00FE100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12. Klinička farmakologija i toksikologija - 2  tjedna</w:t>
            </w:r>
          </w:p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13. Infektologija - 1 mjesec                                                    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ind w:right="-48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000A3D" w:rsidRPr="00000A3D" w:rsidRDefault="00000A3D" w:rsidP="00000A3D">
            <w:pPr>
              <w:pStyle w:val="t-9-8-bez-uvl"/>
              <w:spacing w:before="0" w:beforeAutospacing="0" w:after="0" w:afterAutospacing="0" w:line="280" w:lineRule="atLeast"/>
              <w:textAlignment w:val="baseline"/>
              <w:rPr>
                <w:color w:val="231F20"/>
              </w:rPr>
            </w:pPr>
            <w:r w:rsidRPr="00000A3D">
              <w:rPr>
                <w:rStyle w:val="bold"/>
                <w:b/>
                <w:bCs/>
                <w:color w:val="231F20"/>
                <w:bdr w:val="none" w:sz="0" w:space="0" w:color="auto" w:frame="1"/>
              </w:rPr>
              <w:t>Gastroenterologija– 33 mjeseca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1. Odjel gastroenterologije i pankreatologije– 32 tjedna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>2. Odjel hepatologije i transplantaciju organa– 26 tjedana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3. Infektologija-2 tjedan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4. Abdominalna kirurgija– 4 tjedna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>5. Gastroenterološka onkologija– 10 tjedana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>6. Radiologija– 1 tjedan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>7. Nuklearna medicina– 1 tjedan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8. Pedijatrijska gastroenterologija– 4 tjedna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9. Dijagnostička endoskopija (I)– 24 tjedna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10. Terapijska endoskopija (II)– 15 tjedana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11. Dijagnostički ultrazvuk (I)– 14 tjedana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lastRenderedPageBreak/>
              <w:t xml:space="preserve">12. Terapijski ultrazvuk (II)– 9 tjedana 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contextualSpacing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>13. Patologija– 1 tjedan</w:t>
            </w:r>
          </w:p>
          <w:p w:rsidR="00000A3D" w:rsidRPr="00000A3D" w:rsidRDefault="00000A3D" w:rsidP="00000A3D">
            <w:pPr>
              <w:pStyle w:val="t-9-8-bez-uvl"/>
              <w:spacing w:before="0" w:beforeAutospacing="0" w:after="225" w:afterAutospacing="0" w:line="280" w:lineRule="atLeast"/>
              <w:textAlignment w:val="baseline"/>
              <w:rPr>
                <w:color w:val="231F20"/>
              </w:rPr>
            </w:pPr>
            <w:r w:rsidRPr="00000A3D">
              <w:rPr>
                <w:color w:val="231F20"/>
              </w:rPr>
              <w:t xml:space="preserve">UKUPNO: 143 tjedna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Godišnji odmor- 5 mjeseci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Poslijediplomski specijalistički studij  „Gastroenterologija“- 3 mjeseca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1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 okviru specijalizacije iz gastroenterologije specijalizant mora završiti poslijediplomski specijalistički studij „Gastroenterologija“.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ind w:left="72" w:right="-483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Tijekom specijalizacije specijalizant je obvezan pohađati tečajeve trajnog stručnog usavršavanja doktora medicine.</w:t>
            </w:r>
          </w:p>
        </w:tc>
      </w:tr>
      <w:tr w:rsidR="00FE1008" w:rsidRPr="00FE1008" w:rsidTr="00C86E3A">
        <w:trPr>
          <w:jc w:val="center"/>
        </w:trPr>
        <w:tc>
          <w:tcPr>
            <w:tcW w:w="27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>Kompetencije koje polaznik stječe završetkom specijalizacije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2469" w:type="dxa"/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Razina usvojene kompetencije: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1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svladao tematsko područje na osnovnoj razini i potrebna mu je pomoć 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stručni nadzor u radu i rješavanju problema iz tematskog područja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2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djelomično svladao tematsko područje i uz djelomični stručni nadzor u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mogućnosti je raditi i rješavati probleme iz tematskog područja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3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Specijalizant je u potpunosti svladao tematsko područje, poznaje odgovarajuću literaturu i u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mogućnosti je samostalno raditi i rješavati probleme iz tematskog područja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 stjecanje kompetencija odgovoran je specijalizant, glavni mentor i mentor.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1. Opće kompetencije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Završetkom specijalističkog usavršavanja specijalizant gastroenterologije mora imati u potpunosti usvojene opće kompetencije. Posebna pozornost mora se usmjeriti stjecanju općih kompetencija važnih za određenu granu specijalizacije.   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        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Završetkom specijalizacije specijalizant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i primjenjivati načela medicinske etike i deontologije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posjedovati profesionalnost, humanost i etičnost uz obvezu očuvanja privatnosti i dostojanstva pacijenta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vještinu ophođenja s pacijentima, kolegama i ostalim stručnjacima – komunikacijske vještine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važnost i primjenjivati načela dobre suradnje s drugim radnicima u zdravstvu (3)</w:t>
            </w:r>
          </w:p>
          <w:p w:rsidR="00FE1008" w:rsidRPr="00FE1008" w:rsidRDefault="00FE1008" w:rsidP="00FE1008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lastRenderedPageBreak/>
              <w:t>biti sposoban razumljivo i na prikladan način prenijeti relevantne informacije i objašnjenja pacijentu (usmeno i pisano), njegovoj obitelji, kolegama i ostalim stručnjacima s ciljem zajedničkog sudjelovanja u planiranju i provedbi zdravstvene skrbi (3)</w:t>
            </w:r>
          </w:p>
          <w:p w:rsidR="00FE1008" w:rsidRPr="00FE1008" w:rsidRDefault="00FE1008" w:rsidP="00FE1008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biti sposoban definirati, probrati i pravilno dokumentirati relevantne podatke o pacijentu, informirati se i uvažiti stavove pacijenta i njegove obitelji, stavove drugih kolega te drugih stručnjaka (3)</w:t>
            </w:r>
          </w:p>
          <w:p w:rsidR="00FE1008" w:rsidRPr="00FE1008" w:rsidRDefault="00FE1008" w:rsidP="00FE1008">
            <w:pPr>
              <w:numPr>
                <w:ilvl w:val="0"/>
                <w:numId w:val="3"/>
              </w:numPr>
              <w:tabs>
                <w:tab w:val="num" w:pos="0"/>
              </w:tabs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kroz neprekidno učenje i samoprocjenu unaprijediti kompetencije i stavove nužne za podizanje kvalitete stručnog rada (3)</w:t>
            </w:r>
          </w:p>
          <w:p w:rsidR="00FE1008" w:rsidRPr="00FE1008" w:rsidRDefault="00FE1008" w:rsidP="00FE1008">
            <w:pPr>
              <w:numPr>
                <w:ilvl w:val="0"/>
                <w:numId w:val="3"/>
              </w:numPr>
              <w:spacing w:after="0" w:line="300" w:lineRule="exact"/>
              <w:ind w:left="360" w:right="-288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usvojiti principe upravljanja svojom praksom i karijerom s ciljem profesionalnog razvoja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hanging="21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imati razvijenu vještinu prenošenja znanja na mlađe kolege i druge radnike u zdravstvu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hanging="21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razumjeti važnost znanstvenog pristupa struci (3) 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sudjelovati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znanstveno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istra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znanstveno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istra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klini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ispitivanja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te sudjelovati u pripremi radova za objavu (3)</w:t>
            </w:r>
          </w:p>
          <w:p w:rsidR="00FE1008" w:rsidRPr="00FE1008" w:rsidRDefault="00FE1008" w:rsidP="00FE10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biti sposoban doprinijeti stvaranju, primjeni i prijenosu novih medicinskih znanja i iskustava te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sudjelovati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provedbi p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rograma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specijalizacije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uže specijalizacije (3)</w:t>
            </w:r>
          </w:p>
          <w:p w:rsidR="00FE1008" w:rsidRPr="00FE1008" w:rsidRDefault="00FE1008" w:rsidP="00FE100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znati i primjenjivati principe medicine temeljene na dokazima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važnost i način učinkovitog vođenja detaljne dokumentacije te isto primjenjivati u svom radu sukladno važećim propisima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sposoban koordinirati i utvrditi prioritete u timskom radu, odnosno učinkovito su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djelovati u radu multidisciplinarnog tima zdravstvenih radnika i suradnika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procjeniti potrebu uključivanja drugih stručnjaka u proces pružanja zdravstvene skrbi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biti upoznat s važnošću suradnje te aktivno surađivati s javnozdravstvenim službama i ostalim tijelima uključenim u sustav zdravstva (3)   </w:t>
            </w:r>
          </w:p>
          <w:p w:rsidR="00FE1008" w:rsidRPr="00FE1008" w:rsidRDefault="00FE1008" w:rsidP="00FE1008">
            <w:pPr>
              <w:numPr>
                <w:ilvl w:val="0"/>
                <w:numId w:val="4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poznavati organizaciju sustava zdravstva i biti osposobljen za odgovorno sudjelovanje u upravljanju aktivnostima procjene potreba, planiranja mjera unapređenja i povećanja učinkovitosti te razvoja i unapređenja sustava kvalitete zdravstvene zaštite (3)</w:t>
            </w:r>
          </w:p>
          <w:p w:rsidR="00FE1008" w:rsidRPr="00FE1008" w:rsidRDefault="00FE1008" w:rsidP="00FE1008">
            <w:pPr>
              <w:numPr>
                <w:ilvl w:val="0"/>
                <w:numId w:val="4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 xml:space="preserve">poznavati regulativu iz područja zdravstva, osobito iz područja zaštite prava pacijenata (3)  </w:t>
            </w:r>
          </w:p>
          <w:p w:rsidR="00FE1008" w:rsidRPr="00FE1008" w:rsidRDefault="00FE1008" w:rsidP="00FE1008">
            <w:pPr>
              <w:numPr>
                <w:ilvl w:val="0"/>
                <w:numId w:val="4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razumjeti značenje vlastite odgovornosti i zaštitu podataka i prava pacijenata (3)</w:t>
            </w:r>
          </w:p>
          <w:p w:rsidR="00FE1008" w:rsidRPr="00FE1008" w:rsidRDefault="00FE1008" w:rsidP="00FE1008">
            <w:pPr>
              <w:numPr>
                <w:ilvl w:val="0"/>
                <w:numId w:val="4"/>
              </w:num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tijek, raspored i kontrolu radnih procesa i osnove upravljanja resursima posebice financijskim (3)</w:t>
            </w:r>
          </w:p>
          <w:p w:rsidR="00FE1008" w:rsidRPr="00FE1008" w:rsidRDefault="00FE1008" w:rsidP="00FE1008">
            <w:pPr>
              <w:numPr>
                <w:ilvl w:val="0"/>
                <w:numId w:val="4"/>
              </w:numPr>
              <w:spacing w:after="0" w:line="300" w:lineRule="exact"/>
              <w:ind w:left="360"/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sz w:val="24"/>
                <w:szCs w:val="24"/>
                <w:lang w:eastAsia="hr-HR"/>
              </w:rPr>
              <w:t>razumjeti i kritički koristiti dostupna sredstva zdravstvene zaštite vodeći se interesima svojih pacijenata i zajednice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biti osposobljen procijeniti i adekvatno odgovoriti na individualne zdravstvene potrebe i probleme pacijenata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lastRenderedPageBreak/>
              <w:t>identificirati zdravstvene potrebe zajednice i u skladu s njima poduzimati odgovarajuće mjere usmjerene očuvanju i unapređenju zdravlja te prevenciji bolesti (3)</w:t>
            </w:r>
          </w:p>
          <w:p w:rsidR="00FE1008" w:rsidRPr="00FE1008" w:rsidRDefault="00FE1008" w:rsidP="00FE100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00" w:lineRule="exact"/>
              <w:ind w:left="360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  <w:t>promicati zdravlje i zdrave stilove života svojih pacijenata, zajednice i cjelokupne populacije (3)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300" w:lineRule="exact"/>
              <w:rPr>
                <w:rFonts w:ascii="Times New Roman" w:eastAsia="Times New Roman" w:hAnsi="Times New Roman" w:cs="Arial"/>
                <w:color w:val="000000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2. Posebne kompetencije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 xml:space="preserve">Zajedničko internističko „deblo“ 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Završetkom prvog dijela programa specijalizacije - zajedničko deblo - specijalizant  mora položiti ispit iz e-predmeta „Racionalna primjena lijekova“ te mora biti sposoban primijeniti usvojena znanja i vještine u slijedećim poglavljima: 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</w:rPr>
              <w:t>iz kardiologije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: obrada kardiološkog bolesnika i usvojiti specifičnosti anamneze i statusa kardiološkog bolesnika (2); 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nalaza: biokemijski nalazi, EKG, 24-satni EKG,  testovi opterećenja, elektrofiziološko ispitivanje, metode oslikavanja – rtg, ehokardiografija, kateterizacija srca i angiokardiografija, angiološke slikovne dijagnostičke metode, MSCT, MR; elektrokardiografija u hitnim i elektivnim stanjima i testovi opterećenja (2).  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procjena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potrebe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specifi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obrade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sumnjom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slijede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stanja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(2):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zatajivanje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poreme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aji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ritma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provo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đ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iznenadna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smrt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kongenitalne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reumatska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vru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zalistaka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endo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miokarditis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kardiomiopatije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perikarda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tumori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(1),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ateroskleroza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ishemijska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akutni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koronarni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sindrom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infarkt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miokarda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plu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cirkulacije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aorte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perifernih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krvnih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arterija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vena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tromboembolije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trudno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(1),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drugih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organskih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sustava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nekardijalni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kirur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zahvati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kardijalnih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transplantacija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(1),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traume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srca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velikih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krvnih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(1).    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gastroenterologije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 obrada gastroenterološkog bolesnika i bolesnika s bolešću jetre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gastroenterologiji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hepatologiji: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biokemijski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jetreni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testovi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–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pokazatelji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hepatocelularne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nekroze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kolestaze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sintetske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funkcije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jetre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probavni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enzimi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tumorski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biljezi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autoantitijela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specifi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proteini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probavni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hormoni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Funkcijski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testovi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Slikovne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–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ultrazvuk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dopler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endoskopski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ultrazvuk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endoskopija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radiolo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magnetska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rezonancija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radionuklidne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Laparoskopija, biopsija jetre. (2).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procjena potrebe specifične specijalističke obrade i liječenja bolesnika sa sumnjom na slijedeća stanja (2): sindrom malapsorpcije, gastrointestinalno krvarenje, sindrom iritabilnog kolona, poremećaji motorike jednjaka, GERB i ostale bolesti jednjaka, gastritis i gastropatije, ulkusna bolest, tumori jednjaka i želuca, upalne bolesti crijeva,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lastRenderedPageBreak/>
              <w:t>poremećaji  crijevne cirkulacije  bolesti peritoneuma, omentuma i mezenterija, akutni abdomen, karcinoid, polipi probavnog sustava, tumori tankog i debelog crijeva, bolesti jetre, bolesti jetre u trudnoći; bole sti bilijarnog sustava; bolesti gušterače, te znati osnove transplantacije u gastroenterologiji (1).</w:t>
            </w:r>
          </w:p>
          <w:p w:rsidR="00FE1008" w:rsidRPr="00FE1008" w:rsidRDefault="00FE1008" w:rsidP="00FE1008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endokrinologije i dijabetologije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endokrinološkog bolesnika i specifičnosti anamneze i statusa tih bolesnika (2).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endokrinologiji, dijabetologiji i bolestima metabolizma: mjerenje hormona u krvi i urinu, dinamičke procedure za ocjenu endokrinih funkcija, dijagnostički testovi za stražnji režanj hipofize, štitnjaču, koru i srž nadbubrežne žlijezde, mjerenje hormona testisa i ovarija, mjerenje  endogene sekrecije gušterače (2).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procjena potrebe specifične specijalističke obrade i liječenja bolesnika sa sumnjom na: bolesti hipotalamusa i hipofize i neurohipofize; bolesti štitnjače; bolesti nadbubrežne žlijezde, bolesti testisa i jajnika, neplodnost, poremećaji diferencijacije spola; poremećaji multiplih endokrinih žijezda, bolesti metabolizma (šećerna bolest, hipoglikemija, metabolički sindrom i pretilost, Wilsonova bolest, hemokromatoza poremećaji metabolizma lipida, purina, porfirina, aminokiselina, poremećaj sinteze i mobilizacije glikogena), bolesti kostiju (rahitis i osteomalacija, bolesti paratireoidnih žlijezda (drugi sindromi hipo i hiperkalcemije), osteoporoza (2)</w:t>
            </w:r>
          </w:p>
          <w:p w:rsidR="00FE1008" w:rsidRPr="00FE1008" w:rsidRDefault="00FE1008" w:rsidP="00FE1008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pulmologije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pulmološkog bolesnika i specifičnosti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 respiratornoj medicini: slikovne metode, radiološke metode, radionuklidne pretrage, endoskopske pretrage, biopsijske metode, citološke i histološke metode, mikrobiološke pretrage, imunološke pretrage, biokemijske pretrage ispitivanje funkcije pluća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procjena potrebe specifične specijalističke obrade i liječenja u bolesnika sa sumnjom na slijedeća stanja: akutne upale pluća, kronična opstruktivna bolest pluća; astma, bronhiektazije, plućni apsces, plućne mikoze, bolesti plućnoga intersticija, plućne eozinofilije, profesionalne plućne bolesti, profesionalne bolesti koje zahvaćaju dišne puteve, profesionalne bolesti koje zahvaćaju alveole, tumori traheje, bronha i pluća, bolesti pleure, medijastinuma i ošita, poremećaji ventilacije, poremećaje disanja u spavanju, nuspojave lijekova na plućima (2)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nefrologije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: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obrada nefrološkog bolesnika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nefrologiji: biokemijski nalazi, analiza urina, citološka analiza urina,  određivanje funkcije bubrega, slikovne metode – UZV i dopler bubrega, radiološke metode, radionuklidna funkcijska ispitivanja, bakteriološke analize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, biopsija bubrega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lastRenderedPageBreak/>
              <w:t>procjena potrebe specifične specijalističke obrade i liječenja bolesnika sa sumnjom na slijedeća stanja (3): akutno i kronično zatajivanje funkcije bubrega, zatajivanje funkcije bubrega i postupci dijalize i transplantacija bubrega, primarne i sekundarne bolesti glomerula, akutni i kronični tubolointersticijski nefritis, toksične nefropatije, infekcije mokraćnog sustava (3),  vaskularne bolesti bubrega; nasljedne bolesti bubrega; nefrolitijaza; opstrukcija mokraćnog sustava; poremećaji inervacije mokraćnog sustava i urodinamike; tumori mokraćnog sustava i prostate; dijetetske mjere u bolestima bubrega; oštećenja bubrega uzrokovana lijekovima (2)</w:t>
            </w:r>
          </w:p>
          <w:p w:rsidR="00FE1008" w:rsidRPr="00FE1008" w:rsidRDefault="00FE1008" w:rsidP="00FE1008">
            <w:pPr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hematologije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hematološkog bolesnika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hematologiji: biokemijske i hematološke pretrage, citološke i histološke pretrage, imunološke, citogenetske i molekularne pretrage te radionuklidne pretrage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procjena potrebe specifične specijalističke obrade i liječenja bolesnika sa sumnjom na slijedeća stanja: bolesti eritrocita – anemije, bolesti uzrokovane poremećajima hemostaze, poremećaji broja i funkcije trombocita, poremećaji hemostaze, benigne bolesti granulocita, monocita i makrofaga, bolesti limfocita, bolesti slezene, neoplastične bolesti krvotvornog sustava – kronične mijeloproliferative bolesti. Akutne leukemije i sindrom mijelodisplazije, limfoproliferative bolesti, neoplastične bolesti plazma stanica; osnove transplantacije krvotvornih stanica (2)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transfuziologije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: preparati krvi, uzimanje i konzerviranje krvi; imunohematološka ispitivanja darivatelja i bolesnika; usmjerena transfuzija krvi i krvnih komponenti, postupci prilikom transfuzije; poslijetransfuzijske reakcije; zakonski propisi i kontrola transfuzijskog liječenja (2)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alergologije i kliničke imunologije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bolesnika s imunološkim poremećajem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imunologiji i alergologiji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procjena potrebe specifične specijalističke obrade i liječenja bolesnika sa sumnjom na glavne poremećaje i bolesti imunološkog sustava - imunodeficijencije, alergijske i pseudoalergijske reakcije, (2) </w:t>
            </w:r>
          </w:p>
          <w:p w:rsidR="00FE1008" w:rsidRPr="00FE1008" w:rsidRDefault="00FE1008" w:rsidP="00FE1008">
            <w:pPr>
              <w:spacing w:after="0" w:line="240" w:lineRule="auto"/>
              <w:ind w:left="10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reumatologije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reumatološkog bolesnika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 i interpretacija nalaza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u reumatologiji:  slikovne metode - npr. klasični radiogram, MRI, nuklearne metode oslikavanja; laboratorijske metode – biokemijske, mikrobiološke,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lastRenderedPageBreak/>
              <w:t xml:space="preserve">histološke, te različite pretrage seruma i drugih tjelesnih tekućina i tkiva, pretrage kojima se procjenjuje aktivnost reumatskih bolesti, autoantitijela, citološke metode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pretraga  (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klasifikacija reumatske bolesti i procjena potrebe specifične specijalističke obrade i liječenja bolesnika sa sumnjom na slijedeća stanja: reumatoidni artritis, juvenilni kronični artritis, seronegativna spondiloartropatija, sustavni eritemski lupus, sustavna skleroza, Sjogrenov sindrom; polimiozitis/dermatomiozitis, sindrom preklapanja vezivnog tkiva, sindrom vaskulitisa, sarkoidoza, Behcetova bolest, amoloidoza, osteoartritis, križobolja i vratobolja, ekstraartikularni reumatizam, artropatije zbog odlaganja kristala, infekcijski artritis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intenzivne i hitne medicine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: poznavanje bodovnih sustava za procjenu težine kritično bolesnih, metode nadzora u jedinicama intenzivnog liječenja, kardiopulmonalna – cerebralna resuscitacija (3), osnovna načela mehaničke ventilacije, šok; sepsa; višestruko zatajenje organa; ARDS, pristup bolesniku u komi, agitacija i delirij (2)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r-HR"/>
              </w:rPr>
              <w:t>iz internističke onkologije: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obrada onkološkog bolesnika i usvojiti specifičnosti anamneze i statusa onkološkog  bolesnika (2);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indikacije za primjenu dijagnostičkih metoda i interpretacija nalaza u internističkoj onkologiji: biokemijski nalazi, hematološki nalazi, tumorski biljezi, slikovne metode, radiološke metode, radionuklidne pretrage, endoskopske pretrage, biopsijske metode, citološke i histološke metode, imunološke pretrage, citogenetske i molekularne pretrage (2)</w:t>
            </w:r>
          </w:p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procjena potrebe specifične specijalističke obrada i liječenja bolesnika sa sumnjom na slijedeća stanja: solidni tumori /dojka, mezenhimalni tumori, melanom, tumori probavnog trakta, pluća, urogenitalni tumori/, paraneoplastični sindrom, zloćudna bolest nepoznatog primarnog sijela, načela podjele i stupnjevanja zloćudnih tumora, hitna stanja u onkologiji, osnove lijećenja solidnih tumora, komplikacije onkološkog liječenja i suportivno liječenje(2)</w:t>
            </w:r>
          </w:p>
          <w:p w:rsidR="00FE1008" w:rsidRPr="00FE1008" w:rsidRDefault="00FE1008" w:rsidP="00FE1008">
            <w:pPr>
              <w:spacing w:after="0" w:line="240" w:lineRule="auto"/>
              <w:ind w:left="108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it-IT" w:eastAsia="hr-HR"/>
              </w:rPr>
              <w:t>iz kliničke farmakologije i toksikologije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: poznavanje pristupa bolesniku s politerapijom (intereakcije, nuspojave), rješavanje terapijskih problema, pristup otrovanom bolesniku i prepoznavanje glavnih otrovanja i kontrola takvih bolesnika; upoznati rad farmakoterapijske ambulante; upoznati se s kliničkim pokusima (2)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sv-SE" w:eastAsia="hr-HR"/>
              </w:rPr>
              <w:t>iz infektologije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obrada infektološkog bolesnika i specifičnost anamneze i statusa tih bolesnika (2)</w:t>
            </w:r>
          </w:p>
          <w:p w:rsidR="00FE1008" w:rsidRPr="00FE1008" w:rsidRDefault="00FE1008" w:rsidP="00FE100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indikacije za primjenu dijagnostičkih metoda,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 xml:space="preserve">upoznavanje temeljnih laboratorijskih pretraga u infektologiji,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interpretacija nalaza</w:t>
            </w:r>
            <w:r w:rsidRPr="00FE1008" w:rsidDel="00347C2E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sv-SE" w:eastAsia="hr-HR"/>
              </w:rPr>
              <w:t>i  principi liječenja zaraznih bolesti (2)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>Gastroenterologija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Opće kompetencije; 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Nakon završene specijalizacije specijalist gastroenterologije treba znati: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dati liječničko mišljenje o dijagnozi, liječenju i prevenciji bolesti endokrinog sustava, šećerne bolesti, te ostalih bolesti metabolizma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samostalno kreirati optimalnu obradu bolesnika s akutnim i kroničnim bolestima endokrinog sustava i metabolizma, te šećerne bolesti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samostalno izvoditi rutinske ultrazvučne dijagnostičke pretrage i zahvate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mora steći sposobnost komunikacije, ne samo s bolesnikom, već i s članovima njegove obitelji, upoznavajući ih sa svim predloženim metodama (rizicima, dobrobitima) dijagnostike i liječenja i očekivanim rezultatima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znanstvene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osnove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dijagnostiku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endokrinoloških i metaboličkih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;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sastaviti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protokole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pra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svojih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preuzeti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odgovornosti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voditelja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endokrino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lo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kih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dijabetolo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kih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metaboli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kih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odjela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te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dijagnosti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kih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laboratorija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(2)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sura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đ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ivati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dr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avnim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nadzornim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javnozdravstvenim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slu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bama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sudjelovati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programima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specijalizacije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iz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interne, endokrinologije, dijabetologije i bolesti metabolizma,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te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edukaciji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ostalih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stru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njaka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iz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razli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itih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medicinskih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podru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sudjelovati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istra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ivanjima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razvoju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iz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podru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it-IT" w:eastAsia="hr-HR"/>
              </w:rPr>
              <w:t>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endokrinologije, dijabetologije i bolesti metabolizma. (3)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keepNext/>
              <w:spacing w:before="240" w:after="6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pl-PL" w:eastAsia="hr-HR"/>
              </w:rPr>
              <w:t>Posebne</w:t>
            </w:r>
            <w:r w:rsidRPr="00FE100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pl-PL" w:eastAsia="hr-HR"/>
              </w:rPr>
              <w:t>kompetencije;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Nakon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zavr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ene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specijalizacije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specijalist gastroenterologije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treba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imati usvojena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sljede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znanja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hr-HR"/>
              </w:rPr>
              <w:t>sposobnosti</w:t>
            </w:r>
            <w:r w:rsidRPr="00FE10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  <w:t>:</w:t>
            </w:r>
          </w:p>
          <w:p w:rsidR="00FE1008" w:rsidRPr="00FE1008" w:rsidRDefault="00FE1008" w:rsidP="00FE100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Činjenično znanje o gastroenterološkim bolestima.</w:t>
            </w:r>
          </w:p>
          <w:p w:rsidR="00FE1008" w:rsidRPr="00FE1008" w:rsidRDefault="00FE1008" w:rsidP="00FE1008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Interpretacijske sposobnosti kako bi na osnovu kliničkih i ostalih dostupnih podataka mogao stvoriti klinički korisno mišljenje. Naglasak treba staviti na važnost stjecanja kliničkog iskustva i multidisciplinarnosti, te sudjelovanje na stručnim sastancima kliničara i patologa i ostalih subspecijalnosti.</w:t>
            </w:r>
          </w:p>
          <w:p w:rsidR="00FE1008" w:rsidRPr="00FE1008" w:rsidRDefault="00FE1008" w:rsidP="00FE100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Praktično znanje dobiveno direktnim upoznavanjem s načinom rada na gastroenterološkom odjelu i dijagnostičkim laboratorijima, koje će omogućiti odabir metoda koje najbolje odgovaraju kliničkom problemu, kao i implementaciju postupaka za osiguranje i kontrolu kvalitete.</w:t>
            </w:r>
          </w:p>
          <w:p w:rsidR="00FE1008" w:rsidRPr="00FE1008" w:rsidRDefault="00FE1008" w:rsidP="00FE100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Iskustvo u istraživanju i razvoju. Originalan način razmišljanja i kritička procjena objavljenih radova su važni da bi specijalizant, bilo individualno, bilo kao član tima,  pridonio razvoju ove specijalnosti.</w:t>
            </w:r>
          </w:p>
          <w:p w:rsidR="00FE1008" w:rsidRPr="00FE1008" w:rsidRDefault="00FE1008" w:rsidP="00FE100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Stjecanje trajnih navika čitanja, pretraživanja litrature, konzultiranja s kolegama na znanstvenim skupovima i prezentiranje znanstvenih radova u sklopu trajnog medicinskog usavršavanja.</w:t>
            </w:r>
          </w:p>
          <w:p w:rsidR="00FE1008" w:rsidRPr="00FE1008" w:rsidRDefault="00FE1008" w:rsidP="00FE100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lastRenderedPageBreak/>
              <w:t xml:space="preserve">Sposobnost obrade podataka kako bi se evaluirale informacije  o odgovarajućoj populaciji dobivene kliničkom obradom i primjenom dijagnostičkih postupaka.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Ove  sposobnosti uključuju poznavanje informatičke tehnologije, te upotrebu baza podataka, programa za statističku obradu podataka itd. </w:t>
            </w:r>
          </w:p>
          <w:p w:rsidR="00FE1008" w:rsidRPr="00FE1008" w:rsidRDefault="00FE1008" w:rsidP="00FE100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Sposobnost komunikacije i upravljanja (menadžmenta).  Specijalizant treba steći iskustvo (pod nadzorom) u planiranju rada gastroenterološkog odjela i dijagnostičkih laboratorija, te razviti sposobnosti potrebne za vođenje navedenih djelatnosti. Poznavanje svih mjera za očuvanje zdravlja i sigurnosti bolesnika i medicinskog osoblja na gastroenterološkom odjelu i dijagnostičkim laboratorijima.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hr-HR"/>
              </w:rPr>
              <w:t xml:space="preserve">Popis posebnih kompetencija 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Program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specijalizacije iz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niz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razli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itih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polja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vje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tina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nabrojenih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nastavku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401" w:hanging="4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 xml:space="preserve">Peptične bolesti, </w:t>
            </w:r>
            <w:r w:rsidRPr="00FE100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it-IT" w:eastAsia="hr-HR"/>
              </w:rPr>
              <w:t>Helicobacter pylori</w:t>
            </w: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 xml:space="preserve"> infekcija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zavr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etku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specijalizacije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specijalist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zdravstvenu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titu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bolesnicima sa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svim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oblicima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pepti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: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pepti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ulkusu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svih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lokaliteta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neulkusnoj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dispepsiji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gastroezofagealnoj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refluksnoj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drugim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stanjima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povi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sekrecijom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elu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kiseline,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bolesnicima sa </w:t>
            </w:r>
            <w:r w:rsidRPr="00FE10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 w:eastAsia="hr-HR"/>
              </w:rPr>
              <w:t>Helicobacter pylori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 infekcijom: Specijalista gastroenterolog mora: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it-IT" w:eastAsia="hr-HR"/>
              </w:rPr>
              <w:t xml:space="preserve">ovladati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metodama dijagnostike svih vrsta peptičnih bolesti (3)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poznavati mehanizme želučane sekrecije i znati indicirati analize želučanoga soka (3) 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poznavati epidemiologiju </w:t>
            </w:r>
            <w:r w:rsidRPr="00FE1008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it-IT" w:eastAsia="hr-HR"/>
              </w:rPr>
              <w:t>Helicobacter pylori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 infekcije, čimbenike virulencije, kancerogenost, dijagnostičke metode i metode liječenja Helicobacter pylori infekcije (3)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 sposoban za odabir najučinkovitije i najracionalnije terapije za liječenje svih oblika peptičnih bolesti (3)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poznavati indikacije za kirurško liječenje peptičnih bolesti (3), 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 osposobljen za izvođenje dijagnostičkih i terapijskih endoskopskih pregleda i postupaka u području gornjeg probavnoga trakta (3)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interpretirati nalaze radioloških pregleda gornjeg probavnoga trakta, CT i MR pregleda (2),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mogućnosti prevencije premalignih i malignih promjena želučane sluznice (3)</w:t>
            </w:r>
          </w:p>
          <w:p w:rsidR="00FE1008" w:rsidRPr="00FE1008" w:rsidRDefault="00FE1008" w:rsidP="00FE1008">
            <w:pPr>
              <w:numPr>
                <w:ilvl w:val="0"/>
                <w:numId w:val="10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surađivati sa djelatnicima drugih specijalnosti u rješavanju problema peptičnih bolesti (3)</w:t>
            </w:r>
          </w:p>
          <w:p w:rsidR="00FE1008" w:rsidRPr="00FE1008" w:rsidRDefault="00FE1008" w:rsidP="00FE1008">
            <w:pPr>
              <w:spacing w:after="0" w:line="240" w:lineRule="auto"/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 xml:space="preserve">Funkcionalne bolesti probavnog sustava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zavr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etku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specijalizacije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specijalist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zdravstvenu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titu bolesnicima s različitim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funkcionalnim bolestima probavnog sustava. Specijalista gastroenterolog mora: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poznavati indikacije i kontraindikacije za funkcionalne pretrage, tehnike izvođenja svake ponaosob, te pravilno tumačiti rezultate funkcionalnih testova (3).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odnos središnjeg živčanog i probavnog sustava, fiziologija visceralnog osjeta (3)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znati dijagnosticirati i liječiti probleme vezane uz divertikuloza crijeva i njihove komplikacije (3)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znati prepoznati psihosocijalne poremećaje u bolesnika s funkcionalnim bolestima probavnog sustava (3)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osposobljen za izbor psihofarmaka u liječenju funkcionalnih poremećaja (3)</w:t>
            </w:r>
          </w:p>
          <w:p w:rsidR="00FE1008" w:rsidRPr="00FE1008" w:rsidRDefault="00FE1008" w:rsidP="00FE1008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vježbe potrebne pri funkcionalnim poremećajima analnog sfinktera (3)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>Bolesti jetre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 završetku specijalizacije specijalist gastroenterologije mora znati pružiti optimalnu zdravstvenu zaštitu bolesnicima sa svim oblicima akutnih i kroničnih jetrenih bolesti.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fiziologiju i patofiziologiju jetre i poremećaje metabolizma bilirubina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osnove patohistologije jetre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prepoznati poremećaje jetre u dječjoj dobi, kao i nasljedne metaboličke bolesti jetre (2);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prepoznati, dijagnosticirati i liječiti akutno zatajenje jetre, virusne hepatitise, oštećenje jetre lijekovima, alkoholnu bolest jetre, masnu jetru i steatohepatitis, autoimune bolesti jetre (autoimuni hepatitis, primarna bilijarna ciroza, primarni sklerozirajući kolangitis)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znati prepoznati, dijagnosticirati i liječiti bolesti jetre u trudnoći, vaskularne bolesti jetre (3); 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prepoznati, dijagnosticirati i liječiti cirozu jetre i komplikacije (3)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znati prepoznati, dijagnosticirati i liječiti benigne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 maligne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 tumore jetre, uključujući kemoterapiju (3).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obradu potrebnu za transplantaciju jetre – poznavati indikacije, pretransplantacijsku obradu, imunosupresivnu terapiju, posttransplantacijsko zbrinjavanje (3).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izvesti dijagnostičku i terapijsku paracentezu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interpretirati nalaze: biopsije jetre, UZV, scintigrafije, angiografije, CT, MR, PTC, MRCP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osposobljen za izvođenje biopsije jetre (slijepe i ciljane pod UZV kontrolom)  (3).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indikacije i znati interpretirati nalaze transjugularne biopsije jetre (3);</w:t>
            </w:r>
          </w:p>
          <w:p w:rsidR="00FE1008" w:rsidRPr="00FE1008" w:rsidRDefault="00FE1008" w:rsidP="00FE1008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osposobljen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samostalnu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endoskopsku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procjenu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portalne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hipertenzije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izvođenje svih metoda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hemostaze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kod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krvarenja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zbog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portalne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hipertenzije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(3);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hr-HR"/>
              </w:rPr>
              <w:t>Bolesti žučnih puteva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 xml:space="preserve">Po završetku specijalizacije specijalist gastroenterologije mora znati pružiti optimalnu zdravstvenu zaštitu bolesnicima sa svim oblicima akutnih i kroničnih bolesti žučnih puteva.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lastRenderedPageBreak/>
              <w:t>poznavati fiziologiju i patofiziologiju bilijarnog sustava, k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ongenitalne malformacije bilijarnog trakta, poremećaje motiliteta bilijarnog trakta (3);</w:t>
            </w:r>
          </w:p>
          <w:p w:rsidR="00FE1008" w:rsidRPr="00FE1008" w:rsidRDefault="00FE1008" w:rsidP="00FE10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biti osposobljen za dijagnostiku i izbor terapije žučnih kamenaca, kolangitisa – akutnog i kroničnog, komplikacijama (3); </w:t>
            </w:r>
          </w:p>
          <w:p w:rsidR="00FE1008" w:rsidRPr="00FE1008" w:rsidRDefault="00FE1008" w:rsidP="00FE10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prepoznati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dijagnosticirati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sklerozirajući kolangitis – primarni i sekundarni (3);</w:t>
            </w:r>
          </w:p>
          <w:p w:rsidR="00FE1008" w:rsidRPr="00FE1008" w:rsidRDefault="00FE1008" w:rsidP="00FE10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prepoznati, dijagnosticirati i liječiti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benigne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 maligne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tumore bilijarnog trakta (3);</w:t>
            </w:r>
          </w:p>
          <w:p w:rsidR="00FE1008" w:rsidRPr="00FE1008" w:rsidRDefault="00FE1008" w:rsidP="00FE1008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izvesti UZV bilijarnog trakta (3), te izvesti/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interpretirati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nalaze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 ERCP, EUS, PTC, MRCP, MSCT, endoskopskih intervencija (2/3);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 xml:space="preserve">Bolesti gušterače 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 završetku specijalizacije specijalist gastroenterologije mora znati pružiti optimalnu zdravstvenu zaštitu bolesnicima sa svim oblicima akutnih i kroničnih bolesti gušterače.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anatomiju i embriologiju pankreasa i pankreasnih vodova, fiziologiju i patofiziologiju egzokrine i endokrine pankreasne sekrecije (3)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 osnove citološke i patohistološke dijagnostike bolesti pankreasa (2)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dijagnostiku i 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 liječenja akutnog i kroničnog pankreatitisa, cistične fibroze pankreasa (3)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dijagnostiku i metode liječenja benignih i malignih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tumora pankreasa (3)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 osposobljen za suradnju s intervencijskim radiologom i abdominalnim kirurgom u zbrinjavanju bolesti pankreasa (2)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 osposobljen za liječenje pankreatičnih pseudocista i drugih komplikacija bolesti pankreasa (3)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 odabrati i interpretirati nalaze funkcionalnih testova egzokrine i endokrine insuficijencije pankreasa (3)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 osposobljen za izvođenje UZV dijagnostike bolesti pankreasa (3), izvođenje/interpretaciju endoskopskog UZV (2) ili drugih endoskopskih i radioloških dijagnostičkih i terapijskih metoda (ERP, EPT, CT, MSCT, MRCP) (2)</w:t>
            </w:r>
          </w:p>
          <w:p w:rsidR="00FE1008" w:rsidRPr="00FE1008" w:rsidRDefault="00FE1008" w:rsidP="00FE1008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poznavati načine prehrane i potpornu terapiju bolesti pankreasa (3) 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4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 xml:space="preserve">Hormonalni poremećaji 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Nakon završetka specijalizacije specijalist gastroenterologije mora biti osposobljen pružiti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 zdravstvenu zaštitu bolesnicima sa svim oblicima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hormonalnih poremećaja u gastroenterologiji.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5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fiziologiju i patofiziologiju sekrecije hormona i regulatornih peptida u probavnom traktu (3)</w:t>
            </w:r>
          </w:p>
          <w:p w:rsidR="00FE1008" w:rsidRPr="00FE1008" w:rsidRDefault="00FE1008" w:rsidP="00FE1008">
            <w:pPr>
              <w:numPr>
                <w:ilvl w:val="0"/>
                <w:numId w:val="15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dijagnostiku i diferencijalnu dijagnostiku sindroma hormonske hipersekrecije u hormonalno aktivnim gastrointestinalnim tumorima (3)  </w:t>
            </w:r>
          </w:p>
          <w:p w:rsidR="00FE1008" w:rsidRPr="00FE1008" w:rsidRDefault="00FE1008" w:rsidP="00FE1008">
            <w:pPr>
              <w:numPr>
                <w:ilvl w:val="0"/>
                <w:numId w:val="15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metode dijagnostike, liječenja i prognozu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neuroendokrinih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tumora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probavnog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trakta (3)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>Malapsorpcija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Nakon završetka specijalizacije specijalist gastroenterologije mora biti osposobljen pružiti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 zdravstvenu zaštitu bolesnicima sa svim oblicima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sindroma malapsorpcije.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natomiju i fiziologiju probavnog sustava, mehanizme probave i apsorpcije, mehanizme sekrecije elektrolita i tekućine (3)</w:t>
            </w:r>
          </w:p>
          <w:p w:rsidR="00FE1008" w:rsidRPr="00FE1008" w:rsidRDefault="00FE1008" w:rsidP="00FE10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metode dijagnostike i liječenja steatoreje, proteinskih enteropatija, sindroma proljeva i drugih malapsorpcijskih poremećaja (3)</w:t>
            </w:r>
          </w:p>
          <w:p w:rsidR="00FE1008" w:rsidRPr="00FE1008" w:rsidRDefault="00FE1008" w:rsidP="00FE10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interpretirati nalaze biokemijskih i mikrobioloških analiza stolice, analize duodenalnog soka (3), </w:t>
            </w:r>
          </w:p>
          <w:p w:rsidR="00FE1008" w:rsidRPr="00FE1008" w:rsidRDefault="00FE1008" w:rsidP="00FE10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tehnike izvođenja i interpretaciju nalaza: D- ksiloze testa, Schillingova testa, serololoških testova na celijakiju, alergoloških testova za detekciju nutritivnih alergena (3), </w:t>
            </w:r>
          </w:p>
          <w:p w:rsidR="00FE1008" w:rsidRPr="00FE1008" w:rsidRDefault="00FE1008" w:rsidP="00FE100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osposobljen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odabir metoda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svih sindroma malapsorpcije (3)</w:t>
            </w:r>
          </w:p>
          <w:p w:rsidR="00FE1008" w:rsidRPr="00FE1008" w:rsidRDefault="00FE1008" w:rsidP="00FE1008">
            <w:pPr>
              <w:spacing w:after="0" w:line="240" w:lineRule="auto"/>
              <w:ind w:left="12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>Poremećaji prehrane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Nakon završetka specijalizacije specijalist gastroenterologije mora biti osposobljen pružiti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optimalnu zdravstvenu zaštitu bolesnicima sa svim oblicima poremećaja prehrane.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modalitete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enteralne i parenteralne prehrane (3),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znati procijeniti status uhranjenosti, energetskih i nutritivnih potreba bolesnika (3).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indikacije i kontraindikacije za primjenu parenteralne i enteralne prehrane, vrste enteralnih i parenteralnih pripravaka, načine primjene i komplikacije (3) 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znati pružiti nutritivnu podrška u različitim kliničkim situacijama (3)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pravila perioperativne kliničke prehrane, kao i enteralne i parenteralne prehrana kod kuće (3) </w:t>
            </w:r>
          </w:p>
          <w:p w:rsidR="00FE1008" w:rsidRPr="00FE1008" w:rsidRDefault="00FE1008" w:rsidP="00FE100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znati uvesti nazogastričnu i nazojenunalnu sondu (3), poznavati/postaviti perkutanu endoskopsku gastrostomu i jejunostomu (PEG i PEJ) (2)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Upalne bolesti crijeva, IBD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Nakon završetka specijalizacije specijalist gastroenterologije mora biti osposobljen pružiti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zdravstvenu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titu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svim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oblicima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upalnih bolesti crijeva, posebno bolesnicima s 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diopatskim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kroni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upalnim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crijeva.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normalne elemente sluznične barijere, sastav i funkcija normalne crijevne flore i njezin utjecaj na zaštitu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patogena, kolonizacijskih bakterija, mehanizme upalne reakcije u probavnom sustavu, te imunološke i neiumološke obrambene mehanizme,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gensku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povezanost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upalnim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crijeva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poznavati najvažnija  imunodeficijentna stanja koja prate poremećaje probavnog sustava, s posebnim osvrtom na gastrointestinalne manifestacije sustavnih bolesti (3) 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metode dijagnostike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idiopatskih kroničnih upalnih bolesti crijeva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razlikovati upalne bolesti crijeva od sekretornih i osmotskih dijareja, samolimitirajućih crijevnih infekcija – infektivnog proljeva, post-radijacijskih i post-antibiotskih ileokolitisa, divertikulitisa, sindroma iritabilnog crijeva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pravila racionalne dijagnostike i adekvatne interpretacije dijagnostičkih nalaza: seroloških, endoskopskih, histoloških i radioloških testova (3) 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osposobljen za rano prepoznavanje i liječenje intestinalnih i ekstraintestinalnih komplikacija upalnih bolesti crijeva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u potpunosti osposobljen za planiranja terapije u bolesnika s upalnim bolestima crijeva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indikacije za kirurški zahvat i prepoznati postoperative komplikacije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sve probleme upalnih bolesti crijeva u trudnoći, te osigurati sigurno vođenje terapije određenim izborom lijekova u trudnoći (3) 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povezanost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upalnih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malignih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18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psihosocijalni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aspekt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upalnim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bolestima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crijeva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Gastrointestinalne infekcije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Nakon završetka specijalizacije specijalist gastroenterologije mora biti osposobljen prepoznati i pružiti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optimalnu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zdravstvenu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titu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bolesnicima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razli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itim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gastrointestinalnim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infekcijama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  <w:r w:rsidRPr="00FE10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epidemiologiju, etiologiju i patogenezu gastrointestinalnih infekcija, kao i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  <w:t>mehanizme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  <w:t>obrane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  <w:t>doma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  <w:t>ina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sastav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djelovanje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normalne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enteri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flore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t-BR" w:eastAsia="hr-HR"/>
              </w:rPr>
              <w:t>ine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obrane od patogenih mikroorganizama (3)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poznavati patogenezu virusnih, bakterijskih, mikotičkih i parazitarnih infekcija, kao i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osnovne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dijagnosti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bakteriologiji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virusologiji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mikologiji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it-IT" w:eastAsia="hr-HR"/>
              </w:rPr>
              <w:t>parazitologiji (2)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biti upozat s učincima antibiotika na crijevnu floru, kao i s empirijskom, ciljanom i profilaktičkom primjenom antimikrobnih lijekova u gastroenetrologiji, indikacijama, kontraindikacijama i komplikacijama antimikrobne terapije (3)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Mora poznavati metode sprečavanja i razvoja rezistencije na antimikrobne lijekove (3)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Mora poznavati načela dijagnostike i liječenja: tuberkuloze probavnog sustava, HIV-a, otrovanja hranom, bakterijske, virusne, parazitare i mikotične bolesti u gastroenterologiji (2)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poznavati metode skupljanja uzoraka stolice, </w:t>
            </w: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pl-PL" w:eastAsia="hr-HR"/>
              </w:rPr>
              <w:t>specijalne medije za kultivaciju i bojenje stolice (2)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poznavati metode serološke dijagnostike gastrointestinalnih infekcija, imunološke, molekularne, biološke i genetske pretrage u gastrointestinalnim infekcijama (2)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lastRenderedPageBreak/>
              <w:t>poznavati metode sprečavanja infekcija kod endoskopije, načine dezinfekcije i sterilizacije endoskopskih aparata i uzimanje uzoraka za analizu, kao i antibiotsku profilaksa kod rizičnih bolesnika (imunokompromitiranih i bolesnika s transplantiranim organima) (3)</w:t>
            </w:r>
          </w:p>
          <w:p w:rsidR="00FE1008" w:rsidRPr="00FE1008" w:rsidRDefault="00FE1008" w:rsidP="00FE100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>biti upoznat s mogućnostima cijepljenja protiv infekcija u gastroenterologiji (2)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Maligni GI tumori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 završetku specijalizacije specijalist gastroenterologije mora znati pružiti optimalnu zdravstvenu zaštitu bolesnicima s malignim tumorima probavog sustava.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epidemiologiju premalignih i malignih promjena gastrointestinalnog sustava (3)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genetske poremećaje kao osnovu za nastanak malignoma (2)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ela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prevencije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kemoprevencije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kao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t-BR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probira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nadzora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premalignim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malignim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promjenama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probavnog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sustava (3)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racionalno odabrati metode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dijagnostike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gastrointestinalnih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tumora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(3)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tehnike histološke analize tkivnih uzoraka (1) 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procjeniti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nutritivni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status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bolesnika s malignomima probavnog sustava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uklju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indikacije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nutritivne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potpore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(3) 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kirur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metode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postupke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malignomima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probavnog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sustava (2)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osposobljen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postavljanje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indikacije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znati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primjene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osnove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specifi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onkolo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kemoterapije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radioterapije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 (2)</w:t>
            </w:r>
          </w:p>
          <w:p w:rsidR="00FE1008" w:rsidRPr="00FE1008" w:rsidRDefault="00FE1008" w:rsidP="00FE1008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osposobljen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cjelovite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skrbi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onkolo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bolesnike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uklju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iv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simptomatsko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palijativno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lije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(3)</w:t>
            </w:r>
          </w:p>
          <w:p w:rsidR="00FE1008" w:rsidRPr="00FE1008" w:rsidRDefault="00FE1008" w:rsidP="00FE10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Kirurgija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završene specijalizacije, mada tijekom obilaska ne radi na kirurškim odjelima, specijalizant gastroenterologije mora steći određena znanja.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osposobljen za postavljanje indikacije za operaciju i mora poznavati temelje kirurške taktike u abdominalnoj kirurgiji (2);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provesti prijeoperacijsku pripremu bolesnika (3);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poslijeoperacijske komplikacije u abdominalnoj kirurgiji (2);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postaviti dijagnozu akutnog abdomena (3);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indikacije i kontraindikacije za kirurško liječenje krvarenja iz probavnog trakta i portalne hipertenzije, ;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poznavati operacijske taktike liječenja bolesti jednjaka i gastroduodenuma, bolesti bilijarnog sustava, akutnog i kroničnog pankreatitisa i bolesti anusa i rektuma, akutnih okluzija mezenteričnih arterija i vena, kiruršku terapiju upalnih i malignih bolesti crijeva (2);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biti upoznat s indikacijama za transplatacijsku kirurgiju (2), </w:t>
            </w:r>
          </w:p>
          <w:p w:rsidR="00FE1008" w:rsidRPr="00FE1008" w:rsidRDefault="00FE1008" w:rsidP="00FE1008">
            <w:pPr>
              <w:numPr>
                <w:ilvl w:val="0"/>
                <w:numId w:val="23"/>
              </w:numPr>
              <w:tabs>
                <w:tab w:val="clear" w:pos="360"/>
                <w:tab w:val="num" w:pos="720"/>
                <w:tab w:val="center" w:pos="4536"/>
                <w:tab w:val="right" w:pos="9072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aktivno sudjelovati na kirurškim indikacijskim sastancima, kao i organiziranim interaktivnim predavanjima iz abdominalne kirurgije (3):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center" w:pos="470"/>
                <w:tab w:val="right" w:pos="9072"/>
              </w:tabs>
              <w:spacing w:after="0" w:line="240" w:lineRule="auto"/>
              <w:ind w:left="40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Pedijatrija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završene specijalizacije specijalist gastroenterologije treba imati teorijsko znanje gastrointestinalnim bolestima dječje dobi, posebno o kroničnim bolestima, pri kojima se bolest nastavlja i u odraslu dob.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natomiju i fiziologiju probavnog sustava djeteta (2), </w:t>
            </w:r>
          </w:p>
          <w:p w:rsidR="00FE1008" w:rsidRPr="00FE1008" w:rsidRDefault="00FE1008" w:rsidP="00FE100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poznavati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modalitete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enteralne i parenteralne dječje prehrane (2).</w:t>
            </w:r>
          </w:p>
          <w:p w:rsidR="00FE1008" w:rsidRPr="00FE1008" w:rsidRDefault="00FE1008" w:rsidP="00FE100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gastrointestinalne bolesti dječje dobi (2)</w:t>
            </w:r>
          </w:p>
          <w:p w:rsidR="00FE1008" w:rsidRPr="00FE1008" w:rsidRDefault="00FE1008" w:rsidP="00FE1008">
            <w:pPr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biti upoznat s indikacijama, kontraindikacijama i pripremi djeteta za invazivnu dijagnostičku obradu (2).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Patologija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završetka specijalizacije speciajlist gastroenterologije mora poznavati patohistologiju probavnog sustava i jetre.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interpretirati patološke makroskopske,  mikroskopske  i citološke  nalaze, kao i metoda molekularne biologije koje se primjenjuju u patološkoj dijagnostici (1). 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poznavati varijabilnosti normalnog histološkog nalaza tkiva probavnog sustava te promjene karakteristične za različite benigne i maligne bolesti (1).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znati odabrati mjesta i načine uzimanja bioptičkih uzoraka primjerenih za patološku analizu, poznavati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dostave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bioptata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posebnosti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rukovanja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ili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fiksacije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materijala (2/3)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upoznat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novim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tehnologijama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u patohistrološkoj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dijagnosti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ci,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koriste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gastroenterologiji (1)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vrijednost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ograni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fine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-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needle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aspiracijske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tehnike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brush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de-DE" w:eastAsia="hr-HR"/>
              </w:rPr>
              <w:t>citologije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(2). </w:t>
            </w:r>
          </w:p>
          <w:p w:rsidR="00FE1008" w:rsidRPr="00FE1008" w:rsidRDefault="00FE1008" w:rsidP="00FE1008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biti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aktivni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sudionik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multidisciplinarnih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redovitih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sastanaka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gastroenterologa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gramStart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patologa</w:t>
            </w:r>
            <w:proofErr w:type="gramEnd"/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 (2)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Radiologija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završetka specijalizacije specijalist gastroenterologije mora poznavati radiološke dijagnostičke i terapijske metode. Specijalist gastroenterologije mora:</w:t>
            </w:r>
          </w:p>
          <w:p w:rsidR="00FE1008" w:rsidRPr="00FE1008" w:rsidRDefault="00FE1008" w:rsidP="00FE1008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hr-HR"/>
              </w:rPr>
              <w:lastRenderedPageBreak/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hr-HR"/>
              </w:rPr>
              <w:t>rendgensku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hr-HR"/>
              </w:rPr>
              <w:t>anatomiju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hr-HR"/>
              </w:rPr>
              <w:t>probavnoga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hr-HR"/>
              </w:rPr>
              <w:t>sustava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anatomiju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presjeka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tijela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 algoritam rendgenološke dijagnostike (2)</w:t>
            </w:r>
          </w:p>
          <w:p w:rsidR="00FE1008" w:rsidRPr="00FE1008" w:rsidRDefault="00FE1008" w:rsidP="00FE1008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mogu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ć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nosti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ograni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nekontrastnih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kontrastnih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pretraga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probavnog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sustava (1)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,</w:t>
            </w:r>
          </w:p>
          <w:p w:rsidR="00FE1008" w:rsidRPr="00FE1008" w:rsidRDefault="00FE1008" w:rsidP="00FE1008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znati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vrijednost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izvo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đ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enja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indikacije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kontraindikacije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za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pojedine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radiolo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ke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oretrage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(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CT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MSCT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MR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,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MRCP, angiografija i dr.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) (1)</w:t>
            </w:r>
          </w:p>
          <w:p w:rsidR="00FE1008" w:rsidRPr="00FE1008" w:rsidRDefault="00FE1008" w:rsidP="00FE1008">
            <w:pPr>
              <w:numPr>
                <w:ilvl w:val="0"/>
                <w:numId w:val="26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 indikacije, kontraindikacije i komplikacije interventnih radioloških metoda i postupaka (1).</w:t>
            </w:r>
          </w:p>
          <w:p w:rsidR="00FE1008" w:rsidRPr="00FE1008" w:rsidRDefault="00FE1008" w:rsidP="00FE1008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Endoskopija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završetka specijalizacije specijalist gastroenterologije mora biti osposobljen za izvođenje osnovnih endoskopskih dijagnostičkih i terapijskih zahvata i pretraga (Prva razina). Ako se pokaže potreba, tijekom specijalizacije može se osposobiti i za izvođenje interventnih endoskopskih zahvata (druga razina).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Mora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poznavati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u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svim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detaljima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: indikacije, kontraindikacije i komplikacije endoskopskih zahvata, mora znati samostalno rješiti nastale komplikacije tijekom ili iza zahvata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znati interpretirati nalaze endoskopskih pretraga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Mora poznavati načine pripreme i skrbi bolesnika prije, za vrijeme i nakon endoskopije zajedno s iv. primjenom lijekova i premedikacije  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poznavati načine čiščenja i pravilnog čuvanja endoskopske opreme.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Mora,  nakon obavljenih pretraga prve razine (300 ezofagogastroduodenoskopija, 30 zaustavljanja gastrointestinalnih krvarenja različitim hemostatskim tehnikama iz gornjeg i 50 iz donjeg probavnog sustava, 10 vađenje stranih tijela, 100 totalnih kolonoskopija, 100 polipektomija, 100 sigmoidoskopija) samostalno postaviti indikaciju, sigurno, brzo i potpuno izvesti dijagnostički endoskopski pregled gornjeg i donjeg probavnog sustava, izvaditi strano tijelo i odstraniti polipe. 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Mora znati medikamentozno i endoskopski zbrinuti akutna i kronična krvarenja gornjeg i donjeg probavnog sustava  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znati izvesti abdominalnu punkciju i/ili biopsiju, sa ili bez ultrazvučne kontrole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znati integrirati endoskopske pretrage ili zahvate u plan liječenja bolesnika (racionalno planirati endoskopske pretrage i zahvate, odnosno izbjeći pretjeranu ili premalu uporabu endoskopije)</w:t>
            </w:r>
          </w:p>
          <w:p w:rsidR="00FE1008" w:rsidRPr="00FE1008" w:rsidRDefault="00FE1008" w:rsidP="00FE1008">
            <w:pPr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razumjeti odnos između endoskopskih pretraga i mogućih komplikacija zahvata (poznavanje rizika od endoskopije: «cost benefit» za pojedine bolesnike)</w:t>
            </w:r>
          </w:p>
          <w:p w:rsidR="00FE1008" w:rsidRPr="00FE1008" w:rsidRDefault="00FE1008" w:rsidP="00FE1008">
            <w:pPr>
              <w:widowControl w:val="0"/>
              <w:numPr>
                <w:ilvl w:val="0"/>
                <w:numId w:val="21"/>
              </w:numPr>
              <w:tabs>
                <w:tab w:val="clear" w:pos="360"/>
                <w:tab w:val="num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Mora, nakon što je prisustvovao ili samostalno izveo endoskopske pretrage druge razine (150 ERCP-a, sfinkterotomija i vađenje kamenaca, 30 s</w:t>
            </w:r>
            <w:r w:rsidRPr="00FE1008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hr-HR"/>
              </w:rPr>
              <w:t xml:space="preserve">tentiranja biliopankreasnog sustava, 30 stentiranje jednjaka, kolona ili pilorusa, 30 dilatacija stenoza jednjaka i kolona,  50 endoskopskih ultrazvučnih pregleda –EUZ, 10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perkutanih endoskopskih gastrostoma – PEG, 10 mukozektomija, 50 manometrija i pH-metrija i 50 endoskopija kapsulom), biti osposobljen indicirati/izvesti 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 xml:space="preserve">sve navedene interventne endoskopske zahvate  </w:t>
            </w:r>
          </w:p>
          <w:p w:rsidR="00FE1008" w:rsidRPr="00FE1008" w:rsidRDefault="00FE1008" w:rsidP="00FE1008">
            <w:pPr>
              <w:spacing w:after="0" w:line="240" w:lineRule="auto"/>
              <w:ind w:firstLine="6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Gastrointestinalna UZV dijagnostika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Nakon završetka specijalizacije specijalist gastroenterologije mora biti osposobljen za izvođenje osnovnih ultrazvučnih dijagnostičkih i terapijskih zahvata i pretraga. Ako se pokaže potreba, tijekom specijalizacije se može osposobiti i za izvođenje ultrazvučnih zahvata druge razine – EUS-a.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Mora, nakon izvedenih najmanje 300 ultrazvučnih pregleda pod nadzorom specijalista, najmanje 50 abdominalnih punkcija/biopsija pod kontrolom ultrazvuka i 50 dopplerskih pregleda, samostalno postaviti indikaciju, sigurno, brzo i potpuno izvesti dijagnostički pregled abdominalnim ultrazvukom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dobro poznavati točnost abdominalnog ultrazvuka pri postavljanju dijagnoze u pojedinim kliničkim situacijama, poznavati diferencijalnu dijagnozu pojedinih ultrazvučnih nalaza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biti upoznat s intervencijskim metodama koje se izvode pod ultrazvučnom kontrolom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dobro poznavati ograničenja abdominalnog ultrazvuka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biti osposobljen indicirati izvođenje endoskopskog ultrazvuka, dobro poznavati njegove kontraindikacije, kao i točnost pri postavljanju dijagnoze u pojedinim kliničkim situacijama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Mora biti upoznat s mogućnostima intervencije tijekom endoskopskog ultrazvuka (ciljane punkcije različitih struktura, punkcije cističnih formacija s eventualnim postavljanjem endoproteza itd.) 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dobro poznavati ograničenja endoskopskog ultrazvuka</w:t>
            </w:r>
          </w:p>
          <w:p w:rsidR="00FE1008" w:rsidRPr="00FE1008" w:rsidRDefault="00FE1008" w:rsidP="00FE1008">
            <w:pPr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dobro poznavati komplikacije dijagnostičkih i intervencijskih pretraga i znati metode njihova zbrinjavanja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67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t>Medicinska etika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Specijalist gastroenterolog po završetku specijalističke izobrazbe mora imati saznanja i osposobljenosti iz područja medicinske etike.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razumijeti i prihvatiti pravila medicinske etike kao vida primijenjene etike u odnosu zdravstvenih djelatnika i bolesnika i članova njihovih obitelji, u svim aspektima profesionanog rada: zdravstvenoj zaštiti, istraživanju i znanstvenom radu te nastavnoj djelatnosti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znati razlikovati profesionalne dužnosti od etičkih načela i normi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poznati, razumijeti i prihvatiti prava bolesnika i liječnika, razumijeti odnose društvenih okolnosti i elemente pravednog zdravstvenog sustava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u cijelosti poznati uloge etičkih povjerenstava i biti upoznat s sustavom i zakonskom obvezom dobivanja informiranog pristanka od bolesnika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Mora znati odgovoriti i rješiti posebna medicinska i etička pitanja i dvojbe: liječnička odogovornost, stručnost i sigurnost postupaka i opreme, invazivni dijagnostički i terapijski postupci, starija dob i pridružene bolesti, terminalni bolesnik i postupci održavanja života i prehrana, transplantacija organa, istraživanja i klinička ispitivanja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Mora dobro poznati osnove zdravstvenog prava ( Zakon o zdravstvenoj zaštiti, Zakon o liječništvu, Kodeks medicinske etike i deontologije zdravstvenih struka, Zakon o zaštiti prava pacijenata i ostali zakoni i podzakonski akti kojima se na posredan ili neposredan način uređuju zdravstvena pitanja i obavljanje zdravstvene djelatnosti u Republici Hrvatskoj)</w:t>
            </w:r>
          </w:p>
          <w:p w:rsidR="00FE1008" w:rsidRPr="00FE1008" w:rsidRDefault="00FE1008" w:rsidP="00FE1008">
            <w:pPr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Mora biti suglasan s time da svi vidovi djelatnosti specijalista gastroenterologa – stručni, znanstveni i nastavni rad -  moraju biti vođeni načelima profesionalnosti uz poštivanje načela humanosti i medicinske etike.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>Informatika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Nakon završene specijalizacije gastroenterolog mora ovladati osnovama suvremenih metoda i tehnika informacijskih i komunikacijskih tehnologija, osobito kompjutorske obrade podataka.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 xml:space="preserve">Mora biti upoznat s: </w:t>
            </w:r>
          </w:p>
          <w:p w:rsidR="00FE1008" w:rsidRPr="00FE1008" w:rsidRDefault="00FE1008" w:rsidP="00FE100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programima za pohranu i prikaz podataka,</w:t>
            </w:r>
          </w:p>
          <w:p w:rsidR="00FE1008" w:rsidRPr="00FE1008" w:rsidRDefault="00FE1008" w:rsidP="00FE100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 xml:space="preserve">informatičkim mjerama za zaštitu programa, </w:t>
            </w:r>
          </w:p>
          <w:p w:rsidR="00FE1008" w:rsidRPr="00FE1008" w:rsidRDefault="00FE1008" w:rsidP="00FE100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progamima za izvođenje osnovnih statističkih metoda.</w:t>
            </w:r>
          </w:p>
          <w:p w:rsidR="00FE1008" w:rsidRPr="00FE1008" w:rsidRDefault="00FE1008" w:rsidP="00FE1008">
            <w:pPr>
              <w:numPr>
                <w:ilvl w:val="0"/>
                <w:numId w:val="3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>mogućnostima pretraživanja baze podataka.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</w:p>
          <w:p w:rsidR="00FE1008" w:rsidRPr="00FE1008" w:rsidRDefault="00FE1008" w:rsidP="00FE1008">
            <w:pPr>
              <w:numPr>
                <w:ilvl w:val="0"/>
                <w:numId w:val="9"/>
              </w:numPr>
              <w:tabs>
                <w:tab w:val="clear" w:pos="360"/>
                <w:tab w:val="num" w:pos="401"/>
              </w:tabs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 w:eastAsia="hr-HR"/>
              </w:rPr>
              <w:t>Kontrola kvalitete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Nakon završene specijalizacije gastroenterolog mora biti: </w:t>
            </w:r>
          </w:p>
          <w:p w:rsidR="00FE1008" w:rsidRPr="00FE1008" w:rsidRDefault="00FE1008" w:rsidP="00FE10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it-IT" w:eastAsia="hr-HR"/>
              </w:rPr>
              <w:t xml:space="preserve">detaljno upoznat s pojmovima kvalitete, kontrole kvalitete i osiguranja kvalitete, upoznat s principima službenih kontrola. </w:t>
            </w:r>
          </w:p>
          <w:p w:rsidR="00FE1008" w:rsidRPr="00FE1008" w:rsidRDefault="00FE1008" w:rsidP="00FE10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 xml:space="preserve">upoznat s akreditacijskim postupkom i ciljevima akreditacije. </w:t>
            </w:r>
          </w:p>
          <w:p w:rsidR="00FE1008" w:rsidRPr="00FE1008" w:rsidRDefault="00FE1008" w:rsidP="00FE10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upoznat se s radom Agencije za kvalitetu i povjerenstava za osiguranje kvalitete u bolničkim ustanovama.</w:t>
            </w:r>
          </w:p>
          <w:p w:rsidR="00FE1008" w:rsidRPr="00FE1008" w:rsidRDefault="00FE1008" w:rsidP="00FE10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razumjeti značenje kliničkog upravljanja</w:t>
            </w:r>
          </w:p>
          <w:p w:rsidR="00FE1008" w:rsidRPr="00FE1008" w:rsidRDefault="00FE1008" w:rsidP="00FE1008">
            <w:pPr>
              <w:numPr>
                <w:ilvl w:val="0"/>
                <w:numId w:val="3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val="pl-PL" w:eastAsia="hr-HR"/>
              </w:rPr>
              <w:t>biti svjestan lokalnih, nacionalnih i internacionalnih preporuka za gastroenterološku praksu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21. Upravljanje u gastroenterologiji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Po završetku specijalizacije, specijalist gastroenterologije treba imati osnovna znanja o važnim aspektima upravljanja gastroenterološkim odjelom i pripadajućim laboratorijima, uključujući kontrolu financijskih sredstava, upravljanje osobljem, procjenu osoblja, timskog rada, vještina pregovaranja, strateškog planiranja, pripreme poslovnog plana, procesa ugovaranja, te drugih administrativnih poslova.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lastRenderedPageBreak/>
              <w:t>Mora poznavati osnove financijskog upravljanja u zdravstvenoj ustanovi i načela mediko-ekonomske evaluacije medicinskih postupaka. Specijalizanti mogu, kao promatrači, sudjelovati na odjelnim sastancima, kad se razmatraju pitanja upravljanja. Svrha takvog sudjelovanja je da specijalizant stekne određena iskustva o radu povjerenstava, o povjerljivosti, o odlučivanju i značenju održavanja dobrih interpersonalnih odnosa.</w:t>
            </w:r>
          </w:p>
        </w:tc>
      </w:tr>
      <w:tr w:rsidR="00FE1008" w:rsidRPr="00FE1008" w:rsidTr="00C86E3A">
        <w:trPr>
          <w:jc w:val="center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  <w:lastRenderedPageBreak/>
              <w:t xml:space="preserve">Uvjeti za ustanovu u kojoj se provodi specijalizacija </w:t>
            </w:r>
          </w:p>
        </w:tc>
        <w:tc>
          <w:tcPr>
            <w:tcW w:w="1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Ustanova mora ispunjavati uvjete iz članka </w:t>
            </w:r>
            <w:r w:rsidR="00000A3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5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ili </w:t>
            </w:r>
            <w:r w:rsidR="00000A3D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6</w:t>
            </w:r>
            <w:r w:rsidRPr="00FE1008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Pravilnika o specijalističkom usavršavanju doktora medicine.  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r-HR"/>
              </w:rPr>
            </w:pPr>
            <w:r w:rsidRPr="00FE10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r-HR"/>
              </w:rPr>
              <w:t xml:space="preserve">Osim odjela koji zbrinjavaju svu gastrointestinalnu patologiju, potrebno je da u ustanovi u kojoj se obavlja specijalizacija iz gastroenterologije postoje: jedinica za intenzivnu gastroenterološku skrb, endoskopski laboratorij u kojem se vrši potpuni dijapazon endoskopskih pretraga, UZV odjel s endoskopskim UZV-om, rentgenski  odjel sa svim djelatnostima (rutinski RTG dijaskopijski pogon, CT, MR, angiografija, radiološki UZV) u kojem se mogu obavljati endoskopsko-radiološki zahvati: ERCP-dijagnostičko-terapijski zahvati, PTC, angiografski zahvati na GI-traktu, kirurški operacijski pogon, gastroenterološka specijalistička poliklinička služba. </w:t>
            </w:r>
          </w:p>
        </w:tc>
      </w:tr>
    </w:tbl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E1008">
        <w:rPr>
          <w:rFonts w:ascii="Arial" w:eastAsia="Times New Roman" w:hAnsi="Arial" w:cs="Arial"/>
          <w:b/>
          <w:lang w:eastAsia="hr-HR"/>
        </w:rPr>
        <w:t>OBRAZAC PRAĆENJA NAPREDOVANJA U STJECANJU KOMPETENCIJA</w:t>
      </w: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FE1008">
        <w:rPr>
          <w:rFonts w:ascii="Arial" w:eastAsia="Times New Roman" w:hAnsi="Arial" w:cs="Arial"/>
          <w:b/>
          <w:lang w:eastAsia="hr-HR"/>
        </w:rPr>
        <w:t>GASTROENTEROLOGIJA</w:t>
      </w:r>
    </w:p>
    <w:tbl>
      <w:tblPr>
        <w:tblW w:w="15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27"/>
        <w:gridCol w:w="1441"/>
        <w:gridCol w:w="1440"/>
        <w:gridCol w:w="1440"/>
        <w:gridCol w:w="4585"/>
      </w:tblGrid>
      <w:tr w:rsidR="00FE1008" w:rsidRPr="00FE1008" w:rsidTr="00C86E3A">
        <w:trPr>
          <w:trHeight w:val="321"/>
          <w:jc w:val="center"/>
        </w:trPr>
        <w:tc>
          <w:tcPr>
            <w:tcW w:w="6227" w:type="dxa"/>
            <w:vMerge w:val="restart"/>
            <w:tcBorders>
              <w:right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TEMA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21" w:type="dxa"/>
            <w:gridSpan w:val="3"/>
            <w:tcBorders>
              <w:right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4585" w:type="dxa"/>
            <w:vMerge w:val="restart"/>
            <w:tcBorders>
              <w:right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9525" t="13970" r="9525" b="5080"/>
                      <wp:wrapNone/>
                      <wp:docPr id="3" name="Ravni povezni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33B227" id="Ravni poveznik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tk3d&#10;zR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>GLAVNI MENTOR</w:t>
            </w: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1" w:type="dxa"/>
            <w:tcBorders>
              <w:left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1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4585" w:type="dxa"/>
            <w:vMerge/>
            <w:tcBorders>
              <w:right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515"/>
          <w:jc w:val="center"/>
        </w:trPr>
        <w:tc>
          <w:tcPr>
            <w:tcW w:w="6227" w:type="dxa"/>
            <w:shd w:val="clear" w:color="auto" w:fill="C0C0C0"/>
            <w:vAlign w:val="center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OPĆE KOMPETENCIJE</w:t>
            </w:r>
          </w:p>
        </w:tc>
        <w:tc>
          <w:tcPr>
            <w:tcW w:w="4321" w:type="dxa"/>
            <w:gridSpan w:val="3"/>
            <w:tcBorders>
              <w:bottom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 mentora</w:t>
            </w:r>
          </w:p>
        </w:tc>
        <w:tc>
          <w:tcPr>
            <w:tcW w:w="4585" w:type="dxa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FE1008" w:rsidRPr="00FE1008" w:rsidTr="00C86E3A">
        <w:trPr>
          <w:trHeight w:val="540"/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i primjenjivati načela medicinske etike i deontologije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519"/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Posjedovati profesionalnost, humanost i etičnost uz obvezu očuvanja privatnosti i dostojanstva pacijenta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vještinu ophođenja s pacijentima, kolegama i ostalim stručnjacima – komunikacijske vještine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Poznavati važnost i primjenjivati načela dobre suradnje s drugim radnicima u zdravstvu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Biti sposoban razumljivo i na prikladan način prenijeti relevantne informacije i objašnjenja pacijentu (usmeno i pisano), njegovoj obitelji, kolegama i ostalim stručnjacima s ciljem zajedničkog sudjelovanja u planiranju i provedbi zdravstvene skrbi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lastRenderedPageBreak/>
              <w:t xml:space="preserve">Biti sposoban definirati, probrati i pravilno dokumentirati relevantne podatke o pacijentu, informirati se i uvažiti stavove pacijenta i njegove obitelji, stavove drugih kolega te drugih stručnjaka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Kroz neprekidno učenje i samoprocjenu unaprijediti kompetencije i stavove nužne za podizanje kvalitete stručnog rada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Usvojiti principe upravljanja svojom praksom i karijerom s ciljem profesionalnog razvoja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Imati razvijenu vještinu prenošenja znanja na mlađe kolege i druge radnike u zdravstvu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Razumjeti važnost znanstvenog pristupa struci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Sudjelovati u znanstveno-istraživačkom radu poštujući etička načela znanstveno-istraživačkog rada i kliničkih ispitivanja te sudjelovati u pripremi radova za objavu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Biti sposoban doprinijeti stvaranju, primjeni i prijenosu novih medicinskih znanja i iskustava te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sudjelovati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u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provedbi p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rograma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specijalizacije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i uže specijalizacije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Znati i primjenjivati principe medicine temeljene na dokazima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važnost i način učinkovitog vođenja detaljne dokumentacije te isto primjenjivati u svom radu sukladno važećim propisima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Biti sposoban koordinirati i utvrditi prioritete u timskom radu, odnosno učinkovito su</w:t>
            </w: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djelovati u radu multidisciplinarnog tima zdravstvenih radnika i suradnika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Procijeniti potrebu uključivanja drugih stručnjaka u proces pružanja zdravstvene skrbi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Biti upoznat s važnošću suradnje te aktivno surađivati s javnozdravstvenim službama i ostalim tijelima uključenim u sustav zdravstva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organizaciju sustava zdravstva i biti osposobljen za odgovorno sudjelovanje u upravljanju aktivnostima procjene potreba, planiranja mjera unapređenja i povećanja </w:t>
            </w: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 xml:space="preserve">učinkovitosti te razvoja i unapređenja sustava kvalitete zdravstvene zaštite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regulativu iz područja zdravstva, osobito iz područja zaštite prava pacijenata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Razumjeti značenja vlastite odgovornosti i zaštitu podataka i prava pacijenata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Poznavati tijek, raspored i kontrolu radnih procesa i osnove upravljanja resursima, posebice financijskim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Razumjeti i kritički koristiti dostupna sredstva zdravstvene zaštite vodeći se interesima svojih pacijenata i zajednice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Biti osposobljen procijeniti i adekvatno odgovoriti na individualne zdravstvene potrebe i probleme pacijenata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Identificirati zdravstvene potrebe zajednice i u skladu s njima poduzimati odgovarajuće mjere usmjerene očuvanju i unapređenju zdravlja te prevenciji bolesti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7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 xml:space="preserve">Promicati zdravlje i zdrave stilove života svojih pacijenata, zajednice i cjelokupne populacije </w:t>
            </w:r>
          </w:p>
        </w:tc>
        <w:tc>
          <w:tcPr>
            <w:tcW w:w="1441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85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:rsidR="00FE1008" w:rsidRPr="00FE1008" w:rsidRDefault="00FE1008" w:rsidP="00FE100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</w:p>
    <w:tbl>
      <w:tblPr>
        <w:tblW w:w="151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28"/>
        <w:gridCol w:w="1440"/>
        <w:gridCol w:w="1440"/>
        <w:gridCol w:w="1440"/>
        <w:gridCol w:w="4594"/>
      </w:tblGrid>
      <w:tr w:rsidR="00FE1008" w:rsidRPr="00FE1008" w:rsidTr="00C86E3A">
        <w:trPr>
          <w:trHeight w:val="321"/>
          <w:jc w:val="center"/>
        </w:trPr>
        <w:tc>
          <w:tcPr>
            <w:tcW w:w="6228" w:type="dxa"/>
            <w:vMerge w:val="restart"/>
            <w:vAlign w:val="center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TEMA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FE1008" w:rsidRPr="00FE1008" w:rsidRDefault="00FE1008" w:rsidP="00FE100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4594" w:type="dxa"/>
            <w:vMerge w:val="restart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985" t="5715" r="12065" b="13335"/>
                      <wp:wrapNone/>
                      <wp:docPr id="2" name="Ravni poveznik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D42795" id="Ravni poveznik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m+YE&#10;q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>GLAVNI MENTOR</w:t>
            </w: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  <w:vMerge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1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4594" w:type="dxa"/>
            <w:vMerge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515"/>
          <w:jc w:val="center"/>
        </w:trPr>
        <w:tc>
          <w:tcPr>
            <w:tcW w:w="622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POSEBNE KOMPETENCIJE</w:t>
            </w: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 mentora</w:t>
            </w:r>
          </w:p>
        </w:tc>
        <w:tc>
          <w:tcPr>
            <w:tcW w:w="4594" w:type="dxa"/>
            <w:tcBorders>
              <w:bottom w:val="single" w:sz="4" w:space="0" w:color="auto"/>
            </w:tcBorders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FE1008" w:rsidRPr="00FE1008" w:rsidTr="00C86E3A">
        <w:trPr>
          <w:trHeight w:val="302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1. Zajedničko internističko „deblo“</w:t>
            </w: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FE1008" w:rsidRPr="00FE1008" w:rsidTr="00C86E3A">
        <w:trPr>
          <w:trHeight w:val="175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Kardiologija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</w:tr>
      <w:tr w:rsidR="00FE1008" w:rsidRPr="00FE1008" w:rsidTr="00C86E3A">
        <w:trPr>
          <w:trHeight w:val="189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kardiološkog bolesnika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Biokemijske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Elektrokardiografija i dugotrajni EKG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Testovi opterećenja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Elektrofiziološko ispitivanje srca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Ehokardiografija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Slikovne metode u kardiologiji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  <w:shd w:val="clear" w:color="auto" w:fill="D9D9D9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Indikacije za obradu i interpretacija nalaza: </w:t>
            </w: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trHeight w:val="269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Zatajivanje srca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Poremećaji ritma i provođenja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tabs>
                <w:tab w:val="left" w:pos="1095"/>
              </w:tabs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Iznenadna smrt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Kongenitalne srčane mane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Reumatska vrućica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FFFFF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 srčanih zalistaka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Endo i miokarditis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Kardiomiopatije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perikarda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Tumori srca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Ateroskleroza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Ishemijska bolest srca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Akutni koronarni sindrom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Infarkt miokarda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plućne cirkulacije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aorte i perifernih krvnih arterija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vena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Tromboembolije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Srčane bolesti i trudnoća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Srce u bolestima drugih organskih sustava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Nekardijalni kirurški zahvati u kardijalnih bolesnika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FFFF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Transplantacija srca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Traume srca i velikih krvnih žila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Gastroenterologija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gastroenterološkog bolesnika i hepatalnog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Dijagnostičke metode u gastroenterologiji i hepatologiji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Laboratorijska dijagnostika jetrenih bolesti biokemijski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 pokazatelji hepatocelularne nekroze, kolestaze, sintetske  funkcije jetre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Dijagnostika bolesti probavnog sustava: probavni enzimi, tumorski biljezi, autoantitijela, specifični proteini, probavni hormoni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Funkcionalni testovi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lastRenderedPageBreak/>
              <w:t>Slikovne metode – ultrazvuk, dopler, endoskopski ultrazvuk, endoskopija, radiološke metode, magnetska rezonancija; radionuklidne metode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Laparoskopija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Biopsija jetre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Sindrom malapsorpcije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Gastrointestinalno krvarenje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Sindrom iritabilnog kolona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Poremećaji motorike jednjaka, GERB </w:t>
            </w:r>
            <w:proofErr w:type="gramStart"/>
            <w:r w:rsidRPr="00FE1008">
              <w:rPr>
                <w:rFonts w:ascii="Arial" w:eastAsia="Times New Roman" w:hAnsi="Arial" w:cs="Arial"/>
                <w:lang w:val="it-IT" w:eastAsia="hr-HR"/>
              </w:rPr>
              <w:t>i ostale</w:t>
            </w:r>
            <w:proofErr w:type="gramEnd"/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bolesti jednjaka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Gastritis </w:t>
            </w:r>
            <w:proofErr w:type="gramStart"/>
            <w:r w:rsidRPr="00FE1008">
              <w:rPr>
                <w:rFonts w:ascii="Arial" w:eastAsia="Times New Roman" w:hAnsi="Arial" w:cs="Arial"/>
                <w:lang w:val="it-IT" w:eastAsia="hr-HR"/>
              </w:rPr>
              <w:t>i gastropatie</w:t>
            </w:r>
            <w:proofErr w:type="gramEnd"/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Ulkusna bolest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Tumori jednjaka i želuca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201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Upalne bolesti crijeva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proofErr w:type="gramStart"/>
            <w:r w:rsidRPr="00FE1008">
              <w:rPr>
                <w:rFonts w:ascii="Arial" w:eastAsia="Times New Roman" w:hAnsi="Arial" w:cs="Arial"/>
                <w:lang w:val="it-IT" w:eastAsia="hr-HR"/>
              </w:rPr>
              <w:t>Poremećaji  crijevne</w:t>
            </w:r>
            <w:proofErr w:type="gramEnd"/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cirkulacije 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peritoneuma, omentuma i mezenterija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Akutni abdomen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Karcinoid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Polipi probavnog sustava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Tumori tankog i debelog crijeva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jetre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jetre u trudnoći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bilijarnog sustava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Bolesti gušterače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Osnovi transplantacije u gastroenterologiji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Endokrinologija i dijabetologija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Anamneza i status; specifičnosti anamneze i fizikalnih nalaza endokrinološkog bolesnika,bolesnika sa šećernom bolesti i bolesnika s bolestima metabolizma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Mjerenje hormona u krvi i urinu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Dinamičke procedure za ocjenu endokrinih funkcija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Dijagnostički testovi za stražnji režanj hipofize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Testovi za štitnjaču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Testovi za koru i srž nadbubrežne žlijezde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Mjerenje hormona testisa i ovarija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Mjerenje endogene sekrecije gušterače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hipotalamusa, hipofize i neurohipofize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t-BR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t-BR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t-BR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t-BR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štitnjače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Bolesti nadbubrežne žlijezde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testisa i jajnika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Neplodnost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diferencijacije spola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multiplih endokrinih žlijezda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Šećerna bolest, hipoglikemija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Metabolički sindrom i pretilost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Wilsonova bolest</w:t>
            </w:r>
          </w:p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Hemokromatoza</w:t>
            </w:r>
          </w:p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lipida</w:t>
            </w:r>
          </w:p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Rahitis i osteomalacija</w:t>
            </w:r>
          </w:p>
          <w:p w:rsidR="00FE1008" w:rsidRPr="00FE1008" w:rsidRDefault="00FE1008" w:rsidP="00FE1008">
            <w:pPr>
              <w:spacing w:after="0" w:line="240" w:lineRule="auto"/>
              <w:ind w:left="708" w:hanging="708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paratireoidnih žlijezda i sindromi hipo i hiperkalciemije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Osteoporoza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Pulmologija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respiratornog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Radiološke metode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Radionuklidne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Endoskopske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Biopsije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Citološke i histološke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Mikrobiološke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Imunološke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Biokemijske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Ispitivanje funkcije pluća 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Akutne upale pluća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Kronična opstruktivna bolest pluća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Astma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Bronhiektazije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Plućni apsces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Plućne mikoze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plućnog intersticija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Plućne eozinofilije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Profesionalne bolesti pluća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Profesionalne bolesti koje zahvaćaju dišne puteve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Profesionalne bolesti  koje zahvaćaju alveole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Tumori traheje, bronha i pluća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pleure, medijastinuma i ošita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Poemećaji ventilacije, poremećaji disanja u snu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Nuspojave lijekova na plućima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Nefrologija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nefrološkog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Biokemijske pretrage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Analize urina i citološke analize urina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Određivanje funkcije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Slikovne metode u nefrologiji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UZV i dopler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Radiološke metode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Radionuklidna funkcijska ispitivanja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Mikrobiološke analize urina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Biopsija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Akutno zatajenje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Kronično zatajenje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Liječenje bolesnika s zatajenjem funkcije bubrega dijalizomi transplantacijom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Primarne i sekundarne bolesti glomerula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Akutni i kronični tubulointersticijski nefritis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Infekcije mokraćnog sustava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Vaskularne bolesti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Nasljedne bolesti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Nefrolitijaza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Opstrukcija mokraćnih puteva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inervacije mokraćnog sustava i urodinamike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Tumori mokraćnog sustava i prostate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Dijetetske mjere u bolestima bubrega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es-ES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es-ES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es-ES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es-ES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Oštećenja bubrega uzrokovana lijekovima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Hematologija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hematološkog bolesnika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Biokemijske i hematološke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Citološke i histološke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Imunološke, citogenetske i molekularne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Radionuklidne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obradu i interpretacija nalaza: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Anemije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uzrokovane poremećajima hemostaze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broja i funkcije trombocita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Poremećaji hemostaze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Benigne bolesti granulocita, monocita i makrofaga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limfocita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Bolesti slezene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Neoplastičnebolesti krvotvornog sustava- kronične mijeloproliferativne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Akutne leukemije i sindrom mijelodisplazije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89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Neoplastične bolesti plazma stanica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Osnove transplantacije srži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Transfuziologija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Preparati krvi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Uzimanje i proizvodnja pripravaka krvi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liječenje krvnim pripravcima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Tehnički aspekti primjene krvnih pripravaka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Prijetransfuzijsko ispitivanje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Krvlju prenosive bolesti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sv-SE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Transfuzijske reakcije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Osiguranje kvalitete u transfuzijskom liječenju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Zakonski propisi koji se odnose na transfuzijsku medicinu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 xml:space="preserve">Alergologija i klinička imunologija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Anamneza i status; specifičnosti anamneze i fizikalnih nalaza  bolesnika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Dijagnostičke metode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blPrEx>
          <w:tblBorders>
            <w:insideH w:val="none" w:sz="0" w:space="0" w:color="auto"/>
          </w:tblBorders>
        </w:tblPrEx>
        <w:trPr>
          <w:trHeight w:val="108"/>
          <w:jc w:val="center"/>
        </w:trPr>
        <w:tc>
          <w:tcPr>
            <w:tcW w:w="6228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Alergijske i pseudoalergijske reakcije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top w:val="single" w:sz="4" w:space="0" w:color="auto"/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Reumatologija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 bolesnika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Biokemijske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Mikrobiološke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Patohistološke i citološke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Parametri za procjenu aktivnosti upalne reumatske bolesti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Antinuklearna i ostala autoantitijela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za pretrage i interpretacija nalaza:</w:t>
            </w: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4594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Reumatoidni artritis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Seronegativni spondilartritis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Sustavni eritemski lupus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Sustavna skleroza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Sjoegrenov sindrom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Polimiozitis/dermatomiozitis. Sindromi preklapanja bolesti vezivnog tkiva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Sindrom vaskulitisa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Sarkoidoza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Behcetova bolest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Amiloidoza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CCCCC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Osteoartritis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Križobolja i vratobolja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Artropatije zbog odlaganja kristala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Infekcijski artritis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Intenzivna i hitna medicina</w: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Pristup intenzivnom bolesniku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Bodovni sustavi za procjenu težine kritično bolesnih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Metode nadzora u jedinicama Intenzivnog liječenja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Kardiopulmonalna – cerebralna resuscitacija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Osnovna načela mehaničke ventilacije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Šok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Sepsa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Višestruko zatajenje organa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ARDS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Pristup bolesniku u komi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Agitacija i delirij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Internistička onkologija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highlight w:val="lightGray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Anamneza i status; specifičnosti anamneze i fizikalnih nalaza </w:t>
            </w:r>
          </w:p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onkološkog bolesnika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Dijagnostičke metode u onkologiji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Biokemijske i hematološke pretrege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Tumorski biljezi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Citološke i histološke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Molekularne pretrage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Indikacije za obradu i interpretaciju nalaza :</w:t>
            </w: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Solidni tumori /dojka, mezenhimalni tumori, melanom, tumori probavnog trakta, pluća, urogenitalni tumori/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Paraneoplastični sindrom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Zloćudna bolest nepoznatog primarnog sijela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Načela podjele i stupnjevanja zloćudnih tumora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Hitna onkološka stanja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Osnove liječenja solidnih tumora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Komplikacije onkološkog liječenja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contextualSpacing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Suportivno i palijativno liječenje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highlight w:val="lightGray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Klinička farmakologija i toksikologija</w: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Pristup bolesniku s politerapijom - intereakcija i nuspojave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Rješavanje terapijskih problema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Pristup otrovanom bolesniku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Prepoznavanje glavnih otrovanja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Kontrola otrovanih bolesnika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Famakoterapijska ambulanta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Klinički pokusi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highlight w:val="lightGray"/>
                <w:lang w:eastAsia="hr-HR"/>
              </w:rPr>
              <w:t>Infekt</w: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ologija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Anamneza i status; specifičnosti anamneze i fizikalnih nalaza  bolesnika s infektivnom bolešću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Dijagnostičke metode u infektologiji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Temeljne laboratorijske pretrage u infektologiji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trHeight w:val="108"/>
          <w:jc w:val="center"/>
        </w:trPr>
        <w:tc>
          <w:tcPr>
            <w:tcW w:w="6228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Liječenje zaraznih bolesti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4594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</w:tbl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val="it-IT"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lang w:val="it-IT" w:eastAsia="hr-HR"/>
        </w:rPr>
      </w:pPr>
    </w:p>
    <w:tbl>
      <w:tblPr>
        <w:tblW w:w="151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6300"/>
        <w:gridCol w:w="1440"/>
        <w:gridCol w:w="1440"/>
        <w:gridCol w:w="1440"/>
        <w:gridCol w:w="4532"/>
      </w:tblGrid>
      <w:tr w:rsidR="00FE1008" w:rsidRPr="00FE1008" w:rsidTr="00C86E3A">
        <w:trPr>
          <w:jc w:val="center"/>
        </w:trPr>
        <w:tc>
          <w:tcPr>
            <w:tcW w:w="6300" w:type="dxa"/>
            <w:vMerge w:val="restart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TEMA</w:t>
            </w:r>
          </w:p>
        </w:tc>
        <w:tc>
          <w:tcPr>
            <w:tcW w:w="4320" w:type="dxa"/>
            <w:gridSpan w:val="3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STUPANJ NAPREDOVANJA</w:t>
            </w:r>
          </w:p>
        </w:tc>
        <w:tc>
          <w:tcPr>
            <w:tcW w:w="4532" w:type="dxa"/>
            <w:vMerge w:val="restart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GLAVNI MENTOR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vMerge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1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2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>3</w:t>
            </w:r>
          </w:p>
        </w:tc>
        <w:tc>
          <w:tcPr>
            <w:tcW w:w="4532" w:type="dxa"/>
            <w:vMerge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color w:val="000000"/>
                <w:lang w:eastAsia="hr-HR"/>
              </w:rPr>
              <w:t xml:space="preserve">POSEBNE KOMPETENCIJE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320" w:type="dxa"/>
            <w:gridSpan w:val="3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Datum i potpis mentora</w:t>
            </w:r>
          </w:p>
        </w:tc>
        <w:tc>
          <w:tcPr>
            <w:tcW w:w="4532" w:type="dxa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Datum i potpis</w:t>
            </w: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 xml:space="preserve">Peptične bolesti, </w:t>
            </w:r>
            <w:r w:rsidRPr="00FE1008">
              <w:rPr>
                <w:rFonts w:ascii="Arial" w:eastAsia="Times New Roman" w:hAnsi="Arial" w:cs="Arial"/>
                <w:b/>
                <w:i/>
                <w:lang w:val="it-IT" w:eastAsia="hr-HR"/>
              </w:rPr>
              <w:t>Helicobacter pylori</w:t>
            </w: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 xml:space="preserve"> infekcija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iCs/>
                <w:lang w:val="it-IT" w:eastAsia="hr-HR"/>
              </w:rPr>
              <w:t>D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ijagnostike svih vrsta peptičnih bolesti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Mehanizme želučane sekrecije i znati indicirati analize želučanoga soka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Epidemiologiju </w:t>
            </w:r>
            <w:r w:rsidRPr="00FE1008">
              <w:rPr>
                <w:rFonts w:ascii="Arial" w:eastAsia="Times New Roman" w:hAnsi="Arial" w:cs="Arial"/>
                <w:i/>
                <w:lang w:val="it-IT" w:eastAsia="hr-HR"/>
              </w:rPr>
              <w:t>Helicobacter pylori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infekcije, čimbenike virulencije, kancerogenost, dijagnostičke metode i metode liječenja Helicobacter pylori infekcije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Odabir najučinkovitije i najracionalnije terapije za liječenje svih oblika peptičnih bolesti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Indikacije za kirurško liječenje peptičnih bolesti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highlight w:val="blue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Dijagnostički i terapijski endoskopski pregledi i postupci u području gornjeg probavnoga trakta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6A6A6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Interpretacija nalaze radioloških pregleda gornjeg probavnoga trakta, CT i MR pregleda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6A6A6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highlight w:val="green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 xml:space="preserve">Funkcionalne bolesti probavnog sustava 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Indikacije i kontraindikacije za funkcionalne pretrage, tehnike izvođenja svake ponaosob, te pravilno tumačiti rezultate funkcionalnih testova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Odnos središnjeg živčanog i probavnog sustava, fiziologija visceralnog osjeta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i liječenje problema vezanih uz divertikulozu crijeva i njihove komplikacije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Psihosocijalni poremećaji u bolesnika s funkcionalnim bolestima probavnog sustava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Izbor psihofarmaka u liječenju funkcionalnih poremećaja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Vježbe potrebne pri funkcionalnim poremećajima analnog sfinktera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lastRenderedPageBreak/>
              <w:t>Bolesti jetre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Fiziologija i patofiziologija jetre i poremećaje metabolizma bilirubina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Osnove patohistologije jetre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Poremećaji jetre u dječjoj dobi, kao i nasljedne metaboličke bolesti jetre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Dijagnostika i liječenje akutnog zatajenja jetre, virusnih hepatitisa, oštećenja jetre lijekovima, alkoholne bolesti jetre, masne jetre i steatohepatitisa, autoimunih bolesti jetre (autoimunog hepatitisa, primarne bilijarne ciroze, primarnog sklerozirajućeg kolangitisa)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Dijagnostika i liječenje bolesti jetre u trudnoći, vaskularnih bolesti jetre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Dijagnostika i liječenjue ciroze jetre i komplikacije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Dijagnostika i liječenje benignih i malignih tumora jetre, uključujući kemoterapiju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Obrada potrebna za transplantaciju jetre – poznavanje indikacija, pretransplantacijske obrade, imunosupresivne terapije, posttransplantacijskog zbrinjavanja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Dijagnostička i terapijska paracenteza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Interpretiratacija nalaza: biopsije jetre, UZV, scintigrafije, angiografije, CT, MR, PTC, MRCP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Izvođenje biopsije jetre (slijepe i ciljane pod UZV kontrolom)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Indikacija i interpretacija nalaza transjugularne biopsije jetre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Endoskopska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procjena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portalne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hipertenzije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i izvođenje svih metoda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hemostaze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kod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krvarenja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zbog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portalne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hipertenzije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3B3B3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de-DE" w:eastAsia="hr-HR"/>
              </w:rPr>
              <w:t>Bolesti žučnih puteva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Fiziologija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patofiziologija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bilijarnog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sustava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k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ongenitalne malformacije bilijarnog trakta, poremećaja motiliteta bilijarnog trakta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 xml:space="preserve">Dijagnostika i izbor terapije žučnih kamenaca, kolangitisa – akutnog i kroničnog, komplikacija 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Dijagnostika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sklerozirajućeg kolangitisa – primarnog i sekundarnog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Dijagnostika i liječenje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benignih i malignih tumora bilijarnog trakta </w:t>
            </w:r>
          </w:p>
        </w:tc>
        <w:tc>
          <w:tcPr>
            <w:tcW w:w="1440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UZV pregled bilijarnog trakta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ERC i prateće endoskopske intervencije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EUS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PTC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MR / MRCP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CT / MSCT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 xml:space="preserve">Bolesti gušterače 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Anatomija i embriologija pankreasa i pankreasnih vodova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Fiziologija i patofiziologija egzokrine i endokrine pankreasne sekrecije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Citološka i patohistološka dijagnostika bolesti pankreasa 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Dijagnostika i metode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liječenja akutnog i kroničnog pankreatitisa, cistične fibroze pankreasa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i metode liječenja benignih i malignih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tumora pankreasa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Suradnja s intervencijskim radiologom i abdominalnim kirurgom u zbrinjavanju bolesti pankreasa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Dijagnostika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enje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pankreati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pseudocista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drugih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komplikacija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bolesti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pankreasa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Izbor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interpretacija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nalaza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funkcionalnih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testova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egzokrine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endokrine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insuficijencije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pankreasa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lastRenderedPageBreak/>
              <w:t xml:space="preserve">UZV dijagnostika bolesti pankreasa 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ERP i prateće endoskopske intervencije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EUS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PTC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MR / MRCP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color w:val="000000"/>
                <w:lang w:eastAsia="hr-HR"/>
              </w:rPr>
              <w:t>CT / MSCT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Prehrana i potporna terapija bolesti pankreasa </w:t>
            </w:r>
          </w:p>
          <w:p w:rsidR="00FE1008" w:rsidRPr="00FE1008" w:rsidRDefault="00FE1008" w:rsidP="00FE1008">
            <w:pPr>
              <w:spacing w:after="0" w:line="240" w:lineRule="auto"/>
              <w:jc w:val="both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 xml:space="preserve">Hormonalni poremećaji 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F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iziologija i patofiziologija sekrecije hormona i regulatornih peptida u probavnom traktu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i diferencijalna dijagnostika sindroma hormonske hipersekrecije u hormonalno aktivnim gastrointestinalnim tumorima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Dijagnostika, liječenje i prognoza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neuroendokrinih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tumora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probavnog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trakta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>Malapsorpcija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natomija i fiziologija probavnoga sustava, mehanizmi probave i apsorpcije, mehanizmi sekrecije elektrolita i tekućine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i liječenje steatoreje, proteinskih enteropatija, sindroma proljeva i drugih malapsorpcijskih poremećaja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Biokemijske i mikrobiološke analize stolice, analize duodenalnog soka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Izvođenje i interpretacija nalaza: D- ksiloze testa, Schillingova testa, serololoških testova na celijakiju, alergoloških testova za detekciju nutritivnih alergena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enje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svih sindroma malapsorpcije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val="it-IT" w:eastAsia="hr-HR"/>
              </w:rPr>
              <w:t>Poremećaji prehrane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lastRenderedPageBreak/>
              <w:t>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nteralna i parenteralna prehrana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Procijena statusa uhranjenosti, energetskih i nutritivnih potreba bolesnika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Indikacije i kontraindikacije za primjenu parenteralne i enteralne prehrane, vrste enteralnih i parenteralnih pripravaka, načini primjene i komplikacije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Pružanje nutritivne podrške u različitim kliničkim situacijama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Perioperativna klinička prehrana, enteralna i parenteralna prehrana kod kuće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Uvođenje nazogastrične i nazojenunalne sonde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Postavljanje perkutane endoskopske gastrostome i jejunostome (PEG i PEJ)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Upalne bolesti crijeva, IBD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S</w:t>
            </w:r>
            <w:r w:rsidRPr="00FE1008">
              <w:rPr>
                <w:rFonts w:ascii="Arial" w:eastAsia="Times New Roman" w:hAnsi="Arial" w:cs="Arial"/>
                <w:lang w:eastAsia="hr-HR"/>
              </w:rPr>
              <w:t>luznična barijera, sastav i funkcija normalne crijevne flore i njezin utjecaj na zaštitu od patogena, kolonizacija bakterija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Mehanizmi upalne reakcije u probavnom sustavu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Imunološki i neiumološki obrambeni mehanizmi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genska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povezanost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upalnim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bolestima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crijeva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Imunodeficijentna stanja koja prate poremećaje probavnog sustava, s posebnim osvrtom na gastrointestinalne manifestacije sustavnih bolesti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idiopatskih kroničnih upalnih bolesti crijeva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Sekretorne i osmotske dijareje, samolimitirajuće crijevne infekcije – infektivni proljev, post-radijacijski i post-antibiotski ileokolitis, divertikulitis, sindrom iritabilnog crijeva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Dijagnostika i interpretacija dijagnostičkih nalaza: seroloških, endoskopskih, histoloških i radioloških testova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 xml:space="preserve">Rano prepoznavanje i liječenje intestinalnih i ekstraintestinalnih komplikacija upalnih bolesti crijeva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Liječenje bolesnika s upalnim bolestima crijeva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Indikacije za kirurški zahvat, postoperativne komplikacije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Upalne bolesti crijeva u trudnoći, sigurno vođenje terapije određenim izborom lijekova u trudnoći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Povezanost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upalnih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malignih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crijeva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Psihosocijalni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aspekt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bolesnika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s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upalnim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bolestima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 xml:space="preserve">crijeva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bCs/>
                <w:lang w:eastAsia="hr-HR"/>
              </w:rPr>
              <w:t>Gastrointestinalne infekcije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pidemiologija, etiologija i patogeneza gastrointestinalnih infekcija,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mehanizmi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obrane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doma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>ć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 xml:space="preserve">ina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Sastav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djelovanje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normalne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enteri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ke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flore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na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>ini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obrane od patogenih mikroorganizama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Patogeneza virusnih, bakterijskih, mikotičkih i parazitarnih infekcija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>D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ijagnosti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ke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metode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u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bakteriologiji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virusologiji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mikologiji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bCs/>
                <w:lang w:val="it-IT" w:eastAsia="hr-HR"/>
              </w:rPr>
              <w:t xml:space="preserve">parazitologiji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>Učinci antibiotika na crijevnu floru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Empirijska, ciljana i profilaktička primjena antimikrobnih lijekova u gastroenetrologiji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>Indikacije, kontraindikacije i komplikacije antimikrobne terapije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Metode sprečavanja razvoja rezistencije na antimikrobne lijekove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Načela dijagnostike i liječenja: tuberkuloze probavnog sustava, HIV-a, otrovanja hranom, bakterijske, virusne, parazitare i mikotične bolesti u gastroenterologiji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Metode skupljanja uzoraka stolice, </w:t>
            </w:r>
            <w:r w:rsidRPr="00FE1008">
              <w:rPr>
                <w:rFonts w:ascii="Arial" w:eastAsia="Times New Roman" w:hAnsi="Arial" w:cs="Arial"/>
                <w:bCs/>
                <w:lang w:val="pl-PL" w:eastAsia="hr-HR"/>
              </w:rPr>
              <w:t xml:space="preserve">specijalni mediji za kultivaciju i bojenje stolice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lastRenderedPageBreak/>
              <w:t xml:space="preserve">Serološka dijagnostika gastrointestinalnih infekcija, imunološke, molekularne, biološke i genetske pretrage u gastrointestinalnim infekcijama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Metode sprečavanja infekcija kod endoskopije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Dezinfekcija i sterilizacija endoskopskih aparata i uzimanje uzoraka za analizu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Antibiotska profilaksa kod rizičnih bolesnika (imunokompromitiranih i bolesnika s transplantiranim organima)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  <w:r w:rsidRPr="00FE1008">
              <w:rPr>
                <w:rFonts w:ascii="Arial" w:eastAsia="Times New Roman" w:hAnsi="Arial" w:cs="Arial"/>
                <w:bCs/>
                <w:lang w:eastAsia="hr-HR"/>
              </w:rPr>
              <w:t xml:space="preserve">Cijepljenje protiv infekcija u gastroenterologiji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Cs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Maligni GI tumori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pidemiologija premalignih i malignih promjena gastrointestinalnog sustava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enetski poremećaji kao osnovica za nastanak malignoma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t-BR" w:eastAsia="hr-HR"/>
              </w:rPr>
              <w:t>Na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ela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metode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prevencije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t-BR" w:eastAsia="hr-HR"/>
              </w:rPr>
              <w:t>kemoprevencije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metode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probira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nadzora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bolesnika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premalignim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malignim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promjenama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probavnog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sustava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Dijagnostika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gastrointestinalnih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tumora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Histološka i citološka analiza tkivnih uzoraka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Procjena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nutritivnog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statusa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bolesnika s malignomima probavnog sustava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Indikacije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metode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nutritivne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potpore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Kirur</w:t>
            </w:r>
            <w:r w:rsidRPr="00FE1008">
              <w:rPr>
                <w:rFonts w:ascii="Arial" w:eastAsia="Times New Roman" w:hAnsi="Arial" w:cs="Arial"/>
                <w:lang w:eastAsia="hr-HR"/>
              </w:rPr>
              <w:t>š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metode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postupci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u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enju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bolesnika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malignomima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probavnog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sustava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Indikacije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na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ela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primjene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specifi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onkolo</w:t>
            </w:r>
            <w:r w:rsidRPr="00FE1008">
              <w:rPr>
                <w:rFonts w:ascii="Arial" w:eastAsia="Times New Roman" w:hAnsi="Arial" w:cs="Arial"/>
                <w:lang w:eastAsia="hr-HR"/>
              </w:rPr>
              <w:t>š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(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kemoterapije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radioterapije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Pru</w:t>
            </w:r>
            <w:r w:rsidRPr="00FE1008">
              <w:rPr>
                <w:rFonts w:ascii="Arial" w:eastAsia="Times New Roman" w:hAnsi="Arial" w:cs="Arial"/>
                <w:lang w:eastAsia="hr-HR"/>
              </w:rPr>
              <w:t>ž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anje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cjelovite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skrbi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za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onkolo</w:t>
            </w:r>
            <w:r w:rsidRPr="00FE1008">
              <w:rPr>
                <w:rFonts w:ascii="Arial" w:eastAsia="Times New Roman" w:hAnsi="Arial" w:cs="Arial"/>
                <w:lang w:eastAsia="hr-HR"/>
              </w:rPr>
              <w:t>š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bolesnike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simptomatsko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palijativno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lije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enje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Kirurgija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Indikacije za operaciju, temelji kirurške taktike u abdominalnoj kirurgiji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Prijeoperacijska priprema bolesnika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Poslijeoperacijske komplikacije u abdominalnoj kirurgiji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Dijagnoza akutnog abdomena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Indikacije i kontraindikacije za kirurško liječenje krvarenja iz probavnog trakta i portalne hipertenzije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Operacijske taktike liječenja bolesti jednjaka i gastroduodenuma, bolesti bilijarnog sustava, akutnog i kroničnog pankreatitisa i bolesti anusa i rektuma, akutnih okluzija mezenteričnih arterija i vena, kiruršku terapiju upalnih i malignih bolesti crijeva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Indikacijama za transplatacijsku kirurgiju 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Sudjelovanje na kirurškim indikacijskim sastancima, kao i organiziranim interaktivnim predavanjima iz abdominalne kirurgije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Pedijatrija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natomija i fiziologija probavnog sustava djeteta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Enteralna i parenteralna dječja prehrana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Gastrointestinalne bolesti dječje dobi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Indikacije, kontraindikacije i priprema djeteta za invazivnu dijagnostičku obradu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Patologija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Normalni histološki nalaz tkiva probavnog sustava, promjene karakteristične za različite benigne i maligne bolesti </w:t>
            </w: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Patološki makroskopski,  mikroskopski  i citološki  nalazi, metode molekularne biologije u patološkoj dijagnostici </w:t>
            </w: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 xml:space="preserve">Mjesto i način uzimanja bioptičkih uzoraka za patološku analizu,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dostava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bioptata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rukovanja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ili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fiksacije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materijala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Nove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tehnologije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u patohistrološkoj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dijagnosti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ci,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koje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koriste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u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gastroenterologiji </w:t>
            </w: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de-DE" w:eastAsia="hr-HR"/>
              </w:rPr>
              <w:t>Vrijednost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ograni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enja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fine</w:t>
            </w:r>
            <w:r w:rsidRPr="00FE1008">
              <w:rPr>
                <w:rFonts w:ascii="Arial" w:eastAsia="Times New Roman" w:hAnsi="Arial" w:cs="Arial"/>
                <w:lang w:eastAsia="hr-HR"/>
              </w:rPr>
              <w:t>-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needle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aspiracijske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tehnike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>brush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de-DE" w:eastAsia="hr-HR"/>
              </w:rPr>
              <w:t xml:space="preserve">citologije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Multidisciplinarni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redoviti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sastanci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gastroenterologa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proofErr w:type="gramStart"/>
            <w:r w:rsidRPr="00FE1008">
              <w:rPr>
                <w:rFonts w:ascii="Arial" w:eastAsia="Times New Roman" w:hAnsi="Arial" w:cs="Arial"/>
                <w:lang w:eastAsia="hr-HR"/>
              </w:rPr>
              <w:t xml:space="preserve">i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patologa</w:t>
            </w:r>
            <w:proofErr w:type="gramEnd"/>
            <w:r w:rsidRPr="00FE1008">
              <w:rPr>
                <w:rFonts w:ascii="Arial" w:eastAsia="Times New Roman" w:hAnsi="Arial" w:cs="Arial"/>
                <w:lang w:val="it-IT" w:eastAsia="hr-HR"/>
              </w:rPr>
              <w:t xml:space="preserve"> 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Radiologija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en-US" w:eastAsia="hr-HR"/>
              </w:rPr>
              <w:t>Rendgenska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en-US" w:eastAsia="hr-HR"/>
              </w:rPr>
              <w:t>anatomija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en-US" w:eastAsia="hr-HR"/>
              </w:rPr>
              <w:t>probavnoga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en-US" w:eastAsia="hr-HR"/>
              </w:rPr>
              <w:t>sustava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i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anatomija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presjeka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tijela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algoritam rentgenološke dijagnostike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Mogu</w:t>
            </w:r>
            <w:r w:rsidRPr="00FE1008">
              <w:rPr>
                <w:rFonts w:ascii="Arial" w:eastAsia="Times New Roman" w:hAnsi="Arial" w:cs="Arial"/>
                <w:lang w:eastAsia="hr-HR"/>
              </w:rPr>
              <w:t>ć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nosti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ograni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enja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nekontrastnih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kontrastnih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pretraga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>probavnog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pl-PL" w:eastAsia="hr-HR"/>
              </w:rPr>
              <w:t xml:space="preserve">sustava </w:t>
            </w: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it-IT" w:eastAsia="hr-HR"/>
              </w:rPr>
              <w:t>Vrijednost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na</w:t>
            </w:r>
            <w:r w:rsidRPr="00FE1008">
              <w:rPr>
                <w:rFonts w:ascii="Arial" w:eastAsia="Times New Roman" w:hAnsi="Arial" w:cs="Arial"/>
                <w:lang w:eastAsia="hr-HR"/>
              </w:rPr>
              <w:t>č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in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izvo</w:t>
            </w:r>
            <w:r w:rsidRPr="00FE1008">
              <w:rPr>
                <w:rFonts w:ascii="Arial" w:eastAsia="Times New Roman" w:hAnsi="Arial" w:cs="Arial"/>
                <w:lang w:eastAsia="hr-HR"/>
              </w:rPr>
              <w:t>đ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enja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indikacije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kontraindikacije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za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pojedine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radiolo</w:t>
            </w:r>
            <w:r w:rsidRPr="00FE1008">
              <w:rPr>
                <w:rFonts w:ascii="Arial" w:eastAsia="Times New Roman" w:hAnsi="Arial" w:cs="Arial"/>
                <w:lang w:eastAsia="hr-HR"/>
              </w:rPr>
              <w:t>š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ke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pretrage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 (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CT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MSCT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MR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, </w:t>
            </w:r>
            <w:r w:rsidRPr="00FE1008">
              <w:rPr>
                <w:rFonts w:ascii="Arial" w:eastAsia="Times New Roman" w:hAnsi="Arial" w:cs="Arial"/>
                <w:lang w:val="it-IT" w:eastAsia="hr-HR"/>
              </w:rPr>
              <w:t>MRCP, angiografija i dr.</w:t>
            </w:r>
            <w:r w:rsidRPr="00FE1008">
              <w:rPr>
                <w:rFonts w:ascii="Arial" w:eastAsia="Times New Roman" w:hAnsi="Arial" w:cs="Arial"/>
                <w:lang w:eastAsia="hr-HR"/>
              </w:rPr>
              <w:t xml:space="preserve">)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 xml:space="preserve">Indikacije, kontraindikacije i komplikacije interventnih radioloških metoda i postupaka </w:t>
            </w: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Endoskopija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I</w:t>
            </w:r>
            <w:r w:rsidRPr="00FE1008">
              <w:rPr>
                <w:rFonts w:ascii="Arial" w:eastAsia="Times New Roman" w:hAnsi="Arial" w:cs="Arial"/>
                <w:lang w:eastAsia="hr-HR"/>
              </w:rPr>
              <w:t>ndikacije, kontraindikacije i komplikacije endoskopskih zahvata, samostalno rješavanje komplikacija tijekom ili iza zahvata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tabs>
                <w:tab w:val="right" w:pos="6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Interpretacija nalaze endoskopskih pretraga</w:t>
            </w:r>
            <w:r w:rsidRPr="00FE1008">
              <w:rPr>
                <w:rFonts w:ascii="Arial" w:eastAsia="Times New Roman" w:hAnsi="Arial" w:cs="Arial"/>
                <w:lang w:eastAsia="hr-HR"/>
              </w:rPr>
              <w:tab/>
            </w:r>
          </w:p>
          <w:p w:rsidR="00FE1008" w:rsidRPr="00FE1008" w:rsidRDefault="00FE1008" w:rsidP="00FE1008">
            <w:pPr>
              <w:tabs>
                <w:tab w:val="right" w:pos="608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Načini pripreme i skrbi bolesnika prije, za vrijeme i nakon endoskopije, iv. primjenom lijekova i premedikacije 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Čiščenje i pravilno čuvanja endoskopske opreme</w:t>
            </w:r>
          </w:p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Medikamentozno i endoskopsko zbrinjavanje akutnih i kroničnih krvarenja iz gornjeg i donjeg probavnog sustava 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Abdominalna punkcija i/ili biopsija, sa ili bez ultrazvučne kontrole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15152" w:type="dxa"/>
            <w:gridSpan w:val="5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Gastrointestinalna UZV dijagnostika</w:t>
            </w: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Indikacija i izvođenje dijagnostičkog i terapijskog abdominalnog UZV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Diferencijalna dijagnoza pojedinih ultrazvučnih nalaza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Intervencijske metode koje se izvode pod ultrazvučnom kontrolom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Ograničenja abdominalnog ultrazvuka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Endoskopski UZV, indikacije i kontraindikacije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Intervencije tijekom endoskopskog UZV (ciljane punkcije, postavljanje endoproteza itd.) </w:t>
            </w: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Mora dobro poznavati ograničenja endoskopskog ultrazvuka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Komplikacije dijagnostičkih i intervencijskih UZV zahvata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Medicinska etika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Informatika u gastroenterologiji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Kontrola kvalitete u gastroenterologiji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6300" w:type="dxa"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Upravljanje u gastroenterologiji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1440" w:type="dxa"/>
            <w:shd w:val="clear" w:color="auto" w:fill="BFBFBF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  <w:tc>
          <w:tcPr>
            <w:tcW w:w="453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lang w:eastAsia="hr-HR"/>
              </w:rPr>
            </w:pPr>
          </w:p>
        </w:tc>
      </w:tr>
    </w:tbl>
    <w:p w:rsidR="00FE1008" w:rsidRPr="00FE1008" w:rsidRDefault="00FE1008" w:rsidP="00FE1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  <w:r w:rsidRPr="00FE1008">
        <w:rPr>
          <w:rFonts w:ascii="Arial" w:eastAsia="Times New Roman" w:hAnsi="Arial" w:cs="Arial"/>
          <w:b/>
          <w:color w:val="000000"/>
          <w:lang w:eastAsia="hr-HR"/>
        </w:rPr>
        <w:t>OBRAZAC PRAĆENJA OBAVLJENIH ZAHVATA</w:t>
      </w:r>
    </w:p>
    <w:p w:rsidR="00FE1008" w:rsidRPr="00FE1008" w:rsidRDefault="00FE1008" w:rsidP="00FE1008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lang w:eastAsia="hr-HR"/>
        </w:rPr>
      </w:pPr>
      <w:r w:rsidRPr="00FE1008">
        <w:rPr>
          <w:rFonts w:ascii="Arial" w:eastAsia="Times New Roman" w:hAnsi="Arial" w:cs="Arial"/>
          <w:b/>
          <w:color w:val="000000"/>
          <w:lang w:eastAsia="hr-HR"/>
        </w:rPr>
        <w:t>GASTROENTEROLOGIJA</w:t>
      </w:r>
    </w:p>
    <w:tbl>
      <w:tblPr>
        <w:tblW w:w="15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2"/>
        <w:gridCol w:w="1097"/>
        <w:gridCol w:w="1620"/>
        <w:gridCol w:w="1620"/>
        <w:gridCol w:w="5427"/>
      </w:tblGrid>
      <w:tr w:rsidR="00FE1008" w:rsidRPr="00FE1008" w:rsidTr="00C86E3A">
        <w:trPr>
          <w:trHeight w:val="321"/>
          <w:jc w:val="center"/>
        </w:trPr>
        <w:tc>
          <w:tcPr>
            <w:tcW w:w="5392" w:type="dxa"/>
            <w:vMerge w:val="restart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Naziv dijela programa specijalizacije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Naziv zahvata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  <w:tc>
          <w:tcPr>
            <w:tcW w:w="1097" w:type="dxa"/>
            <w:vMerge w:val="restart"/>
            <w:shd w:val="clear" w:color="auto" w:fill="C0C0C0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Broj zahvata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ind w:left="537" w:hanging="464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STUPANJ NAPREDOVANJA</w:t>
            </w:r>
          </w:p>
        </w:tc>
        <w:tc>
          <w:tcPr>
            <w:tcW w:w="5427" w:type="dxa"/>
            <w:vMerge w:val="restart"/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</w:p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noProof/>
                <w:lang w:eastAsia="hr-H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1912620</wp:posOffset>
                      </wp:positionH>
                      <wp:positionV relativeFrom="paragraph">
                        <wp:posOffset>104775</wp:posOffset>
                      </wp:positionV>
                      <wp:extent cx="0" cy="0"/>
                      <wp:effectExtent l="6350" t="12700" r="12700" b="6350"/>
                      <wp:wrapNone/>
                      <wp:docPr id="1" name="Ravni poveznik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DBB684" id="Ravni poveznik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6pt,8.25pt" to="150.6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"/>
                  </w:pict>
                </mc:Fallback>
              </mc:AlternateContent>
            </w:r>
            <w:r w:rsidRPr="00FE1008">
              <w:rPr>
                <w:rFonts w:ascii="Arial" w:eastAsia="Times New Roman" w:hAnsi="Arial" w:cs="Arial"/>
                <w:b/>
                <w:lang w:eastAsia="hr-HR"/>
              </w:rPr>
              <w:t xml:space="preserve">GLAVNI MENTOR </w:t>
            </w: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vMerge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hr-HR"/>
              </w:rPr>
            </w:pPr>
            <w:r w:rsidRPr="00FE1008">
              <w:rPr>
                <w:rFonts w:ascii="Arial" w:eastAsia="Times New Roman" w:hAnsi="Arial" w:cs="Arial"/>
                <w:b/>
                <w:lang w:eastAsia="hr-HR"/>
              </w:rPr>
              <w:t>3</w:t>
            </w:r>
          </w:p>
        </w:tc>
        <w:tc>
          <w:tcPr>
            <w:tcW w:w="5427" w:type="dxa"/>
            <w:vMerge/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639"/>
          <w:jc w:val="center"/>
        </w:trPr>
        <w:tc>
          <w:tcPr>
            <w:tcW w:w="53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C0C0C0"/>
            <w:vAlign w:val="center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  <w:tc>
          <w:tcPr>
            <w:tcW w:w="54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pl-PL" w:eastAsia="hr-HR"/>
              </w:rPr>
            </w:pPr>
            <w:r w:rsidRPr="00FE1008">
              <w:rPr>
                <w:rFonts w:ascii="Arial" w:eastAsia="Times New Roman" w:hAnsi="Arial" w:cs="Arial"/>
                <w:lang w:val="pl-PL" w:eastAsia="hr-HR"/>
              </w:rPr>
              <w:t>Datum i potpis</w:t>
            </w:r>
          </w:p>
        </w:tc>
      </w:tr>
      <w:tr w:rsidR="00FE1008" w:rsidRPr="00FE1008" w:rsidTr="00C86E3A">
        <w:trPr>
          <w:trHeight w:val="260"/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Punkcija/evakuacija ascitesa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Biopsija jetre (slijepa)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UZV pregled abdomena</w:t>
            </w:r>
          </w:p>
          <w:p w:rsidR="00FE1008" w:rsidRPr="00FE1008" w:rsidRDefault="00FE1008" w:rsidP="00FE100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Punkcija/biopsija abd. organa pod UZV kontrolom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Doppler abdomena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CT/MR abdomena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Ezofago-gastro-duodenoskopija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Rektosigmoidoskopija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it-IT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Kolonoskopija s ileoskopijom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Endoskopsko zaustavljanje krvarenja iz gornjeg i donjeg GI sustava</w:t>
            </w: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val="pl-PL"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Polipektomija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Mukozektomija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Dilatacija stenoza u gornjem i donjem GI sustavu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ERCP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EST, vađenje kamenaca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Stentiranje biliopankreatičnoga sustava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Stentiranje jednaka, pilorusa i kolona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Endoskopski UZV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Perkutana endoskopska gastrostoma – PEG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10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lastRenderedPageBreak/>
              <w:t>Manometrija i pH-metrija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  <w:tr w:rsidR="00FE1008" w:rsidRPr="00FE1008" w:rsidTr="00C86E3A">
        <w:trPr>
          <w:trHeight w:val="284"/>
          <w:jc w:val="center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Endoskopska kapsula</w:t>
            </w:r>
          </w:p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E1008">
              <w:rPr>
                <w:rFonts w:ascii="Arial" w:eastAsia="Times New Roman" w:hAnsi="Arial" w:cs="Arial"/>
                <w:lang w:eastAsia="hr-HR"/>
              </w:rPr>
              <w:t>50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  <w:tc>
          <w:tcPr>
            <w:tcW w:w="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008" w:rsidRPr="00FE1008" w:rsidRDefault="00FE1008" w:rsidP="00FE1008">
            <w:pPr>
              <w:spacing w:after="0" w:line="240" w:lineRule="auto"/>
              <w:rPr>
                <w:rFonts w:ascii="Arial" w:eastAsia="Times New Roman" w:hAnsi="Arial" w:cs="Arial"/>
                <w:lang w:eastAsia="hr-HR"/>
              </w:rPr>
            </w:pPr>
          </w:p>
        </w:tc>
      </w:tr>
    </w:tbl>
    <w:p w:rsidR="00FE1008" w:rsidRPr="00FE1008" w:rsidRDefault="00FE1008" w:rsidP="00FE1008">
      <w:pPr>
        <w:spacing w:after="0" w:line="240" w:lineRule="auto"/>
        <w:rPr>
          <w:rFonts w:ascii="Arial" w:eastAsia="Times New Roman" w:hAnsi="Arial" w:cs="Arial"/>
          <w:color w:val="FF0000"/>
          <w:lang w:eastAsia="hr-HR"/>
        </w:rPr>
      </w:pPr>
    </w:p>
    <w:p w:rsidR="00FE1008" w:rsidRPr="00FE1008" w:rsidRDefault="00FE1008" w:rsidP="00FE10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3944AA" w:rsidRDefault="003944AA"/>
    <w:sectPr w:rsidR="003944AA" w:rsidSect="00FE100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C8E" w:rsidRDefault="00616C8E" w:rsidP="008B05F8">
      <w:pPr>
        <w:spacing w:after="0" w:line="240" w:lineRule="auto"/>
      </w:pPr>
      <w:r>
        <w:separator/>
      </w:r>
    </w:p>
  </w:endnote>
  <w:endnote w:type="continuationSeparator" w:id="0">
    <w:p w:rsidR="00616C8E" w:rsidRDefault="00616C8E" w:rsidP="008B0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MT Black">
    <w:altName w:val="Arial Black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F8" w:rsidRDefault="008B05F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3112339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8B05F8" w:rsidRDefault="008B05F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8B05F8" w:rsidRDefault="008B05F8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F8" w:rsidRDefault="008B05F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C8E" w:rsidRDefault="00616C8E" w:rsidP="008B05F8">
      <w:pPr>
        <w:spacing w:after="0" w:line="240" w:lineRule="auto"/>
      </w:pPr>
      <w:r>
        <w:separator/>
      </w:r>
    </w:p>
  </w:footnote>
  <w:footnote w:type="continuationSeparator" w:id="0">
    <w:p w:rsidR="00616C8E" w:rsidRDefault="00616C8E" w:rsidP="008B05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F8" w:rsidRDefault="008B05F8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F8" w:rsidRDefault="008B05F8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05F8" w:rsidRDefault="008B05F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5FA6980"/>
    <w:lvl w:ilvl="0">
      <w:start w:val="1"/>
      <w:numFmt w:val="bullet"/>
      <w:pStyle w:val="Grafikeoznak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ersonalInfo"/>
      <w:lvlText w:val="*"/>
      <w:lvlJc w:val="left"/>
    </w:lvl>
  </w:abstractNum>
  <w:abstractNum w:abstractNumId="2" w15:restartNumberingAfterBreak="0">
    <w:nsid w:val="03EC359E"/>
    <w:multiLevelType w:val="hybridMultilevel"/>
    <w:tmpl w:val="70025976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D2702F"/>
    <w:multiLevelType w:val="hybridMultilevel"/>
    <w:tmpl w:val="4E44DE3E"/>
    <w:lvl w:ilvl="0" w:tplc="79CE387A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74B57"/>
    <w:multiLevelType w:val="multilevel"/>
    <w:tmpl w:val="D446256E"/>
    <w:lvl w:ilvl="0">
      <w:start w:val="1"/>
      <w:numFmt w:val="bullet"/>
      <w:pStyle w:val="terapij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0F7F36E5"/>
    <w:multiLevelType w:val="hybridMultilevel"/>
    <w:tmpl w:val="E9D403F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4638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8A44E2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824638B4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100BB3"/>
    <w:multiLevelType w:val="hybridMultilevel"/>
    <w:tmpl w:val="0B762956"/>
    <w:lvl w:ilvl="0" w:tplc="4C5CC1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2C042D"/>
    <w:multiLevelType w:val="hybridMultilevel"/>
    <w:tmpl w:val="E8303EB0"/>
    <w:lvl w:ilvl="0" w:tplc="E318A6A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3209E9"/>
    <w:multiLevelType w:val="hybridMultilevel"/>
    <w:tmpl w:val="A7804334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2A471C"/>
    <w:multiLevelType w:val="hybridMultilevel"/>
    <w:tmpl w:val="9460CF3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AAA6AF0"/>
    <w:multiLevelType w:val="hybridMultilevel"/>
    <w:tmpl w:val="8C260C92"/>
    <w:lvl w:ilvl="0" w:tplc="041A000F">
      <w:start w:val="1"/>
      <w:numFmt w:val="decimal"/>
      <w:pStyle w:val="glavni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pStyle w:val="sporedni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D030FAB"/>
    <w:multiLevelType w:val="hybridMultilevel"/>
    <w:tmpl w:val="1CBCA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2E24A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7C2345"/>
    <w:multiLevelType w:val="hybridMultilevel"/>
    <w:tmpl w:val="EC9E0E1E"/>
    <w:lvl w:ilvl="0" w:tplc="DF8C8C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hr-H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944F0E"/>
    <w:multiLevelType w:val="hybridMultilevel"/>
    <w:tmpl w:val="2C96F87E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6268C7"/>
    <w:multiLevelType w:val="hybridMultilevel"/>
    <w:tmpl w:val="EE446ABE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547084"/>
    <w:multiLevelType w:val="hybridMultilevel"/>
    <w:tmpl w:val="A29E1E6C"/>
    <w:lvl w:ilvl="0" w:tplc="60C6E33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it-I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A616D3"/>
    <w:multiLevelType w:val="hybridMultilevel"/>
    <w:tmpl w:val="831688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B1542D"/>
    <w:multiLevelType w:val="hybridMultilevel"/>
    <w:tmpl w:val="0F208C7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AC5497D"/>
    <w:multiLevelType w:val="hybridMultilevel"/>
    <w:tmpl w:val="A600FB86"/>
    <w:lvl w:ilvl="0" w:tplc="DB58402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hr-H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DDB4215"/>
    <w:multiLevelType w:val="hybridMultilevel"/>
    <w:tmpl w:val="021E980A"/>
    <w:lvl w:ilvl="0" w:tplc="26BA11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lang w:val="hr-H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45186FCF"/>
    <w:multiLevelType w:val="hybridMultilevel"/>
    <w:tmpl w:val="3CF4D7E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465FE"/>
    <w:multiLevelType w:val="hybridMultilevel"/>
    <w:tmpl w:val="256A9F5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A15FF6"/>
    <w:multiLevelType w:val="hybridMultilevel"/>
    <w:tmpl w:val="C770C500"/>
    <w:lvl w:ilvl="0" w:tplc="041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A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54FD23C8"/>
    <w:multiLevelType w:val="hybridMultilevel"/>
    <w:tmpl w:val="C7967286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9E1626D"/>
    <w:multiLevelType w:val="hybridMultilevel"/>
    <w:tmpl w:val="293A0434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24638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B46495B"/>
    <w:multiLevelType w:val="hybridMultilevel"/>
    <w:tmpl w:val="1A28AF0A"/>
    <w:lvl w:ilvl="0" w:tplc="54A0DCC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11368F8"/>
    <w:multiLevelType w:val="hybridMultilevel"/>
    <w:tmpl w:val="0F965DF2"/>
    <w:lvl w:ilvl="0" w:tplc="97B6870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lang w:val="hr-H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AB01FD3"/>
    <w:multiLevelType w:val="hybridMultilevel"/>
    <w:tmpl w:val="2AA45E7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4CE656D"/>
    <w:multiLevelType w:val="hybridMultilevel"/>
    <w:tmpl w:val="79C60544"/>
    <w:lvl w:ilvl="0" w:tplc="5BEE1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lang w:val="hr-H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9D419A8"/>
    <w:multiLevelType w:val="hybridMultilevel"/>
    <w:tmpl w:val="CE08AB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C75448"/>
    <w:multiLevelType w:val="hybridMultilevel"/>
    <w:tmpl w:val="050021C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5E1DE8"/>
    <w:multiLevelType w:val="hybridMultilevel"/>
    <w:tmpl w:val="F16AF7B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2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7"/>
  </w:num>
  <w:num w:numId="8">
    <w:abstractNumId w:val="25"/>
  </w:num>
  <w:num w:numId="9">
    <w:abstractNumId w:val="5"/>
  </w:num>
  <w:num w:numId="10">
    <w:abstractNumId w:val="24"/>
  </w:num>
  <w:num w:numId="11">
    <w:abstractNumId w:val="17"/>
  </w:num>
  <w:num w:numId="12">
    <w:abstractNumId w:val="15"/>
  </w:num>
  <w:num w:numId="13">
    <w:abstractNumId w:val="31"/>
  </w:num>
  <w:num w:numId="14">
    <w:abstractNumId w:val="6"/>
  </w:num>
  <w:num w:numId="15">
    <w:abstractNumId w:val="14"/>
  </w:num>
  <w:num w:numId="16">
    <w:abstractNumId w:val="29"/>
  </w:num>
  <w:num w:numId="17">
    <w:abstractNumId w:val="27"/>
  </w:num>
  <w:num w:numId="18">
    <w:abstractNumId w:val="26"/>
  </w:num>
  <w:num w:numId="19">
    <w:abstractNumId w:val="18"/>
  </w:num>
  <w:num w:numId="20">
    <w:abstractNumId w:val="28"/>
  </w:num>
  <w:num w:numId="21">
    <w:abstractNumId w:val="2"/>
  </w:num>
  <w:num w:numId="22">
    <w:abstractNumId w:val="9"/>
  </w:num>
  <w:num w:numId="23">
    <w:abstractNumId w:val="23"/>
  </w:num>
  <w:num w:numId="24">
    <w:abstractNumId w:val="21"/>
  </w:num>
  <w:num w:numId="25">
    <w:abstractNumId w:val="12"/>
  </w:num>
  <w:num w:numId="26">
    <w:abstractNumId w:val="19"/>
  </w:num>
  <w:num w:numId="27">
    <w:abstractNumId w:val="0"/>
  </w:num>
  <w:num w:numId="28">
    <w:abstractNumId w:val="11"/>
  </w:num>
  <w:num w:numId="29">
    <w:abstractNumId w:val="30"/>
  </w:num>
  <w:num w:numId="30">
    <w:abstractNumId w:val="20"/>
  </w:num>
  <w:num w:numId="31">
    <w:abstractNumId w:val="16"/>
  </w:num>
  <w:num w:numId="32">
    <w:abstractNumId w:val="1"/>
    <w:lvlOverride w:ilvl="0">
      <w:lvl w:ilvl="0">
        <w:start w:val="1"/>
        <w:numFmt w:val="bullet"/>
        <w:pStyle w:val="PersonalInfo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419F"/>
    <w:rsid w:val="00000A3D"/>
    <w:rsid w:val="003944AA"/>
    <w:rsid w:val="004F3B1B"/>
    <w:rsid w:val="00616C8E"/>
    <w:rsid w:val="008B05F8"/>
    <w:rsid w:val="00AF419F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2BD133-EF54-4641-8E74-C84CC4145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qFormat/>
    <w:rsid w:val="00FE10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E100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paragraph" w:styleId="Naslov3">
    <w:name w:val="heading 3"/>
    <w:basedOn w:val="Normal"/>
    <w:next w:val="Normal"/>
    <w:link w:val="Naslov3Char"/>
    <w:qFormat/>
    <w:rsid w:val="00FE1008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paragraph" w:styleId="Naslov4">
    <w:name w:val="heading 4"/>
    <w:basedOn w:val="Normal"/>
    <w:next w:val="Normal"/>
    <w:link w:val="Naslov4Char"/>
    <w:qFormat/>
    <w:rsid w:val="00FE1008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paragraph" w:styleId="Naslov5">
    <w:name w:val="heading 5"/>
    <w:basedOn w:val="Normal"/>
    <w:next w:val="Normal"/>
    <w:link w:val="Naslov5Char"/>
    <w:qFormat/>
    <w:rsid w:val="00FE1008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rsid w:val="00FE1008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slov7">
    <w:name w:val="heading 7"/>
    <w:basedOn w:val="Normal"/>
    <w:next w:val="Normal"/>
    <w:link w:val="Naslov7Char"/>
    <w:qFormat/>
    <w:rsid w:val="00FE1008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rsid w:val="00FE1008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rsid w:val="00FE1008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E1008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Naslov2Char">
    <w:name w:val="Naslov 2 Char"/>
    <w:basedOn w:val="Zadanifontodlomka"/>
    <w:link w:val="Naslov2"/>
    <w:rsid w:val="00FE1008"/>
    <w:rPr>
      <w:rFonts w:ascii="Arial" w:eastAsia="Times New Roman" w:hAnsi="Arial" w:cs="Arial"/>
      <w:b/>
      <w:bCs/>
      <w:i/>
      <w:iCs/>
      <w:sz w:val="28"/>
      <w:szCs w:val="28"/>
      <w:lang w:eastAsia="hr-HR"/>
    </w:rPr>
  </w:style>
  <w:style w:type="character" w:customStyle="1" w:styleId="Naslov3Char">
    <w:name w:val="Naslov 3 Char"/>
    <w:basedOn w:val="Zadanifontodlomka"/>
    <w:link w:val="Naslov3"/>
    <w:rsid w:val="00FE1008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Naslov4Char">
    <w:name w:val="Naslov 4 Char"/>
    <w:basedOn w:val="Zadanifontodlomka"/>
    <w:link w:val="Naslov4"/>
    <w:rsid w:val="00FE1008"/>
    <w:rPr>
      <w:rFonts w:ascii="Times New Roman" w:eastAsia="Times New Roman" w:hAnsi="Times New Roman" w:cs="Times New Roman"/>
      <w:b/>
      <w:bCs/>
      <w:sz w:val="28"/>
      <w:szCs w:val="28"/>
      <w:lang w:eastAsia="hr-HR"/>
    </w:rPr>
  </w:style>
  <w:style w:type="character" w:customStyle="1" w:styleId="Naslov5Char">
    <w:name w:val="Naslov 5 Char"/>
    <w:basedOn w:val="Zadanifontodlomka"/>
    <w:link w:val="Naslov5"/>
    <w:rsid w:val="00FE1008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slov6Char">
    <w:name w:val="Naslov 6 Char"/>
    <w:basedOn w:val="Zadanifontodlomka"/>
    <w:link w:val="Naslov6"/>
    <w:rsid w:val="00FE1008"/>
    <w:rPr>
      <w:rFonts w:ascii="Times New Roman" w:eastAsia="Times New Roman" w:hAnsi="Times New Roman" w:cs="Times New Roman"/>
      <w:b/>
      <w:bCs/>
    </w:rPr>
  </w:style>
  <w:style w:type="character" w:customStyle="1" w:styleId="Naslov7Char">
    <w:name w:val="Naslov 7 Char"/>
    <w:basedOn w:val="Zadanifontodlomka"/>
    <w:link w:val="Naslov7"/>
    <w:rsid w:val="00FE1008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Naslov8Char">
    <w:name w:val="Naslov 8 Char"/>
    <w:basedOn w:val="Zadanifontodlomka"/>
    <w:link w:val="Naslov8"/>
    <w:rsid w:val="00FE100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slov9Char">
    <w:name w:val="Naslov 9 Char"/>
    <w:basedOn w:val="Zadanifontodlomka"/>
    <w:link w:val="Naslov9"/>
    <w:rsid w:val="00FE1008"/>
    <w:rPr>
      <w:rFonts w:ascii="Arial" w:eastAsia="Times New Roman" w:hAnsi="Arial" w:cs="Arial"/>
    </w:rPr>
  </w:style>
  <w:style w:type="numbering" w:customStyle="1" w:styleId="Bezpopisa1">
    <w:name w:val="Bez popisa1"/>
    <w:next w:val="Bezpopisa"/>
    <w:semiHidden/>
    <w:rsid w:val="00FE1008"/>
  </w:style>
  <w:style w:type="paragraph" w:styleId="StandardWeb">
    <w:name w:val="Normal (Web)"/>
    <w:basedOn w:val="Normal"/>
    <w:rsid w:val="00FE1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esegmentp">
    <w:name w:val="esegment_p"/>
    <w:basedOn w:val="Normal"/>
    <w:rsid w:val="00FE100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semiHidden/>
    <w:rsid w:val="00FE1008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TekstbaloniaChar">
    <w:name w:val="Tekst balončića Char"/>
    <w:basedOn w:val="Zadanifontodlomka"/>
    <w:link w:val="Tekstbalonia"/>
    <w:semiHidden/>
    <w:rsid w:val="00FE1008"/>
    <w:rPr>
      <w:rFonts w:ascii="Tahoma" w:eastAsia="Times New Roman" w:hAnsi="Tahoma" w:cs="Tahom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rsid w:val="00FE10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rsid w:val="00FE1008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E1008"/>
  </w:style>
  <w:style w:type="character" w:styleId="Hiperveza">
    <w:name w:val="Hyperlink"/>
    <w:rsid w:val="00FE1008"/>
    <w:rPr>
      <w:color w:val="0000FF"/>
      <w:u w:val="single"/>
    </w:rPr>
  </w:style>
  <w:style w:type="paragraph" w:styleId="Zaglavlje">
    <w:name w:val="header"/>
    <w:aliases w:val=" Char, Char1"/>
    <w:basedOn w:val="Normal"/>
    <w:link w:val="ZaglavljeChar"/>
    <w:rsid w:val="00FE100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ZaglavljeChar">
    <w:name w:val="Zaglavlje Char"/>
    <w:aliases w:val=" Char Char, Char1 Char1"/>
    <w:basedOn w:val="Zadanifontodlomka"/>
    <w:link w:val="Zaglavlje"/>
    <w:rsid w:val="00FE100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aNaslov">
    <w:name w:val="aNaslov"/>
    <w:basedOn w:val="Normal"/>
    <w:rsid w:val="00FE1008"/>
    <w:pPr>
      <w:tabs>
        <w:tab w:val="left" w:leader="dot" w:pos="9072"/>
      </w:tabs>
      <w:spacing w:before="180" w:after="60" w:line="240" w:lineRule="auto"/>
    </w:pPr>
    <w:rPr>
      <w:rFonts w:ascii="Arial" w:eastAsia="Times New Roman" w:hAnsi="Arial" w:cs="Arial"/>
      <w:b/>
      <w:bCs/>
      <w:lang w:val="pl-PL"/>
    </w:rPr>
  </w:style>
  <w:style w:type="paragraph" w:customStyle="1" w:styleId="aNormal">
    <w:name w:val="aNormal"/>
    <w:basedOn w:val="Normal"/>
    <w:link w:val="aNormalChar"/>
    <w:rsid w:val="00FE1008"/>
    <w:pPr>
      <w:tabs>
        <w:tab w:val="left" w:leader="dot" w:pos="9072"/>
      </w:tabs>
      <w:spacing w:before="180" w:after="60" w:line="240" w:lineRule="auto"/>
    </w:pPr>
    <w:rPr>
      <w:rFonts w:ascii="Arial" w:eastAsia="Times New Roman" w:hAnsi="Arial" w:cs="Arial"/>
      <w:lang w:val="pl-PL"/>
    </w:rPr>
  </w:style>
  <w:style w:type="paragraph" w:customStyle="1" w:styleId="Odlomakpopisa1">
    <w:name w:val="Odlomak popisa1"/>
    <w:basedOn w:val="Normal"/>
    <w:qFormat/>
    <w:rsid w:val="00FE1008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styleId="Uvuenotijeloteksta">
    <w:name w:val="Body Text Indent"/>
    <w:aliases w:val=" Char1 Char, Char1 Char Char"/>
    <w:basedOn w:val="Normal"/>
    <w:link w:val="UvuenotijelotekstaChar"/>
    <w:rsid w:val="00FE100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UvuenotijelotekstaChar">
    <w:name w:val="Uvučeno tijelo teksta Char"/>
    <w:aliases w:val=" Char1 Char Char1, Char1 Char Char Char"/>
    <w:basedOn w:val="Zadanifontodlomka"/>
    <w:link w:val="Uvuenotijeloteksta"/>
    <w:rsid w:val="00FE100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ijeloteksta">
    <w:name w:val="Body Text"/>
    <w:aliases w:val="  uvlaka 2, uvlaka 3"/>
    <w:basedOn w:val="Normal"/>
    <w:link w:val="TijelotekstaChar"/>
    <w:rsid w:val="00FE10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aliases w:val="  uvlaka 2 Char, uvlaka 3 Char"/>
    <w:basedOn w:val="Zadanifontodlomka"/>
    <w:link w:val="Tijeloteksta"/>
    <w:rsid w:val="00FE100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bUpute">
    <w:name w:val="bUpute"/>
    <w:basedOn w:val="Normal"/>
    <w:rsid w:val="00FE1008"/>
    <w:pPr>
      <w:spacing w:after="0" w:line="240" w:lineRule="auto"/>
      <w:ind w:left="1080"/>
    </w:pPr>
    <w:rPr>
      <w:rFonts w:ascii="Times New Roman" w:eastAsia="Times New Roman" w:hAnsi="Times New Roman" w:cs="Times New Roman"/>
      <w:i/>
      <w:color w:val="FF0000"/>
      <w:sz w:val="24"/>
      <w:szCs w:val="24"/>
    </w:rPr>
  </w:style>
  <w:style w:type="paragraph" w:customStyle="1" w:styleId="aNaslovcentar">
    <w:name w:val="aNaslovcentar"/>
    <w:basedOn w:val="Normal"/>
    <w:rsid w:val="00FE1008"/>
    <w:pPr>
      <w:tabs>
        <w:tab w:val="left" w:leader="dot" w:pos="9072"/>
      </w:tabs>
      <w:spacing w:after="600" w:line="240" w:lineRule="auto"/>
    </w:pPr>
    <w:rPr>
      <w:rFonts w:ascii="Arial MT Black" w:eastAsia="Times New Roman" w:hAnsi="Arial MT Black" w:cs="Arial"/>
      <w:sz w:val="28"/>
      <w:szCs w:val="28"/>
    </w:rPr>
  </w:style>
  <w:style w:type="character" w:styleId="Naglaeno">
    <w:name w:val="Strong"/>
    <w:qFormat/>
    <w:rsid w:val="00FE1008"/>
    <w:rPr>
      <w:b/>
      <w:bCs/>
    </w:rPr>
  </w:style>
  <w:style w:type="table" w:styleId="Reetkatablice">
    <w:name w:val="Table Grid"/>
    <w:basedOn w:val="Obinatablica"/>
    <w:rsid w:val="00FE1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CharChar2">
    <w:name w:val="Char1 Char Char2"/>
    <w:aliases w:val=" Char1 Char Char Char Char1"/>
    <w:rsid w:val="00FE1008"/>
    <w:rPr>
      <w:sz w:val="24"/>
      <w:szCs w:val="24"/>
      <w:lang w:val="hr-HR" w:eastAsia="hr-HR" w:bidi="ar-SA"/>
    </w:rPr>
  </w:style>
  <w:style w:type="paragraph" w:customStyle="1" w:styleId="T-98-2">
    <w:name w:val="T-9/8-2"/>
    <w:basedOn w:val="Normal"/>
    <w:rsid w:val="00FE100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firstLine="342"/>
      <w:jc w:val="both"/>
    </w:pPr>
    <w:rPr>
      <w:rFonts w:ascii="Times-NewRoman" w:eastAsia="Times New Roman" w:hAnsi="Times-NewRoman" w:cs="Times New Roman"/>
      <w:sz w:val="19"/>
      <w:szCs w:val="19"/>
      <w:lang w:val="sl-SI" w:eastAsia="sl-SI"/>
    </w:rPr>
  </w:style>
  <w:style w:type="character" w:customStyle="1" w:styleId="prodtitle1">
    <w:name w:val="prodtitle1"/>
    <w:rsid w:val="00FE1008"/>
    <w:rPr>
      <w:rFonts w:ascii="Arial" w:hAnsi="Arial" w:cs="Arial" w:hint="default"/>
      <w:color w:val="333333"/>
      <w:sz w:val="28"/>
      <w:szCs w:val="28"/>
    </w:rPr>
  </w:style>
  <w:style w:type="character" w:styleId="Istaknuto">
    <w:name w:val="Emphasis"/>
    <w:qFormat/>
    <w:rsid w:val="00FE1008"/>
    <w:rPr>
      <w:b/>
      <w:bCs/>
      <w:i w:val="0"/>
      <w:iCs w:val="0"/>
    </w:rPr>
  </w:style>
  <w:style w:type="character" w:customStyle="1" w:styleId="Char1CharChar1">
    <w:name w:val="Char1 Char Char1"/>
    <w:aliases w:val=" Char1 Char Char Char Char"/>
    <w:rsid w:val="00FE1008"/>
    <w:rPr>
      <w:sz w:val="24"/>
      <w:szCs w:val="24"/>
      <w:lang w:val="hr-HR" w:eastAsia="hr-HR" w:bidi="ar-SA"/>
    </w:rPr>
  </w:style>
  <w:style w:type="paragraph" w:customStyle="1" w:styleId="StandardWeb1">
    <w:name w:val="Standard (Web)1"/>
    <w:basedOn w:val="Normal"/>
    <w:rsid w:val="00FE100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hr-HR"/>
    </w:rPr>
  </w:style>
  <w:style w:type="paragraph" w:customStyle="1" w:styleId="Bezproreda1">
    <w:name w:val="Bez proreda1"/>
    <w:qFormat/>
    <w:rsid w:val="00FE100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otpisnik">
    <w:name w:val="Potpisnik"/>
    <w:basedOn w:val="Normal"/>
    <w:next w:val="Normal"/>
    <w:rsid w:val="00FE1008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09fett">
    <w:name w:val="T-10/9 fett"/>
    <w:rsid w:val="00FE100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b/>
      <w:bCs/>
      <w:sz w:val="21"/>
      <w:szCs w:val="21"/>
      <w:lang w:val="en-US" w:eastAsia="hr-HR"/>
    </w:rPr>
  </w:style>
  <w:style w:type="paragraph" w:customStyle="1" w:styleId="Clanak">
    <w:name w:val="Clanak"/>
    <w:next w:val="T-98-2"/>
    <w:rsid w:val="00FE1008"/>
    <w:pPr>
      <w:widowControl w:val="0"/>
      <w:autoSpaceDE w:val="0"/>
      <w:autoSpaceDN w:val="0"/>
      <w:adjustRightInd w:val="0"/>
      <w:spacing w:before="86" w:after="43" w:line="240" w:lineRule="auto"/>
      <w:jc w:val="center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Klasa2">
    <w:name w:val="Klasa2"/>
    <w:next w:val="Normal"/>
    <w:rsid w:val="00FE1008"/>
    <w:pPr>
      <w:widowControl w:val="0"/>
      <w:tabs>
        <w:tab w:val="left" w:pos="2153"/>
      </w:tabs>
      <w:autoSpaceDE w:val="0"/>
      <w:autoSpaceDN w:val="0"/>
      <w:adjustRightInd w:val="0"/>
      <w:spacing w:after="43" w:line="240" w:lineRule="auto"/>
      <w:ind w:left="342"/>
    </w:pPr>
    <w:rPr>
      <w:rFonts w:ascii="Times-NewRoman" w:eastAsia="Times New Roman" w:hAnsi="Times-NewRoman" w:cs="Times New Roman"/>
      <w:sz w:val="19"/>
      <w:szCs w:val="19"/>
      <w:lang w:val="en-US" w:eastAsia="hr-HR"/>
    </w:rPr>
  </w:style>
  <w:style w:type="paragraph" w:customStyle="1" w:styleId="T-109curz">
    <w:name w:val="T-10/9 curz"/>
    <w:rsid w:val="00FE100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i/>
      <w:iCs/>
      <w:sz w:val="21"/>
      <w:szCs w:val="21"/>
      <w:lang w:eastAsia="hr-HR"/>
    </w:rPr>
  </w:style>
  <w:style w:type="paragraph" w:customStyle="1" w:styleId="T-109sred">
    <w:name w:val="T-10/9 sred"/>
    <w:rsid w:val="00FE1008"/>
    <w:pPr>
      <w:widowControl w:val="0"/>
      <w:autoSpaceDE w:val="0"/>
      <w:autoSpaceDN w:val="0"/>
      <w:adjustRightInd w:val="0"/>
      <w:spacing w:before="85" w:after="43" w:line="240" w:lineRule="auto"/>
      <w:jc w:val="center"/>
    </w:pPr>
    <w:rPr>
      <w:rFonts w:ascii="Times-NewRoman" w:eastAsia="Times New Roman" w:hAnsi="Times-NewRoman" w:cs="Times New Roman"/>
      <w:sz w:val="21"/>
      <w:szCs w:val="21"/>
      <w:lang w:eastAsia="hr-HR"/>
    </w:rPr>
  </w:style>
  <w:style w:type="paragraph" w:customStyle="1" w:styleId="T-119sred">
    <w:name w:val="T-11/9 sred"/>
    <w:next w:val="T-98-2"/>
    <w:rsid w:val="00FE1008"/>
    <w:pPr>
      <w:widowControl w:val="0"/>
      <w:autoSpaceDE w:val="0"/>
      <w:autoSpaceDN w:val="0"/>
      <w:adjustRightInd w:val="0"/>
      <w:spacing w:before="128" w:after="43" w:line="240" w:lineRule="auto"/>
      <w:jc w:val="center"/>
    </w:pPr>
    <w:rPr>
      <w:rFonts w:ascii="Times-NewRoman" w:eastAsia="Times New Roman" w:hAnsi="Times-NewRoman" w:cs="Times New Roman"/>
      <w:sz w:val="23"/>
      <w:szCs w:val="23"/>
      <w:lang w:eastAsia="hr-HR"/>
    </w:rPr>
  </w:style>
  <w:style w:type="character" w:customStyle="1" w:styleId="HTMLunaprijedoblikovanoChar">
    <w:name w:val="HTML unaprijed oblikovano Char"/>
    <w:link w:val="HTMLunaprijedoblikovano"/>
    <w:rsid w:val="00FE1008"/>
    <w:rPr>
      <w:sz w:val="24"/>
      <w:szCs w:val="24"/>
      <w:lang w:eastAsia="hr-HR"/>
    </w:rPr>
  </w:style>
  <w:style w:type="character" w:customStyle="1" w:styleId="CharChar">
    <w:name w:val="Char Char"/>
    <w:rsid w:val="00FE1008"/>
    <w:rPr>
      <w:sz w:val="24"/>
      <w:szCs w:val="24"/>
      <w:lang w:val="hr-HR" w:eastAsia="hr-HR" w:bidi="ar-SA"/>
    </w:rPr>
  </w:style>
  <w:style w:type="paragraph" w:styleId="HTMLunaprijedoblikovano">
    <w:name w:val="HTML Preformatted"/>
    <w:basedOn w:val="Normal"/>
    <w:link w:val="HTMLunaprijedoblikovanoChar"/>
    <w:rsid w:val="00FE10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sz w:val="24"/>
      <w:szCs w:val="24"/>
      <w:lang w:eastAsia="hr-HR"/>
    </w:rPr>
  </w:style>
  <w:style w:type="character" w:customStyle="1" w:styleId="HTMLunaprijedoblikovanoChar1">
    <w:name w:val="HTML unaprijed oblikovano Char1"/>
    <w:basedOn w:val="Zadanifontodlomka"/>
    <w:uiPriority w:val="99"/>
    <w:semiHidden/>
    <w:rsid w:val="00FE1008"/>
    <w:rPr>
      <w:rFonts w:ascii="Consolas" w:hAnsi="Consolas"/>
      <w:sz w:val="20"/>
      <w:szCs w:val="20"/>
    </w:rPr>
  </w:style>
  <w:style w:type="paragraph" w:styleId="Tijeloteksta2">
    <w:name w:val="Body Text 2"/>
    <w:basedOn w:val="Normal"/>
    <w:link w:val="Tijeloteksta2Char"/>
    <w:rsid w:val="00FE100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2Char">
    <w:name w:val="Tijelo teksta 2 Char"/>
    <w:basedOn w:val="Zadanifontodlomka"/>
    <w:link w:val="Tijeloteksta2"/>
    <w:rsid w:val="00FE1008"/>
    <w:rPr>
      <w:rFonts w:ascii="Times New Roman" w:eastAsia="Times New Roman" w:hAnsi="Times New Roman" w:cs="Times New Roman"/>
      <w:sz w:val="24"/>
      <w:szCs w:val="24"/>
    </w:rPr>
  </w:style>
  <w:style w:type="character" w:customStyle="1" w:styleId="Tijeloteksta-uvlaka2Char">
    <w:name w:val="Tijelo teksta - uvlaka 2 Char"/>
    <w:link w:val="Tijeloteksta-uvlaka2"/>
    <w:rsid w:val="00FE1008"/>
    <w:rPr>
      <w:sz w:val="24"/>
      <w:szCs w:val="24"/>
    </w:rPr>
  </w:style>
  <w:style w:type="paragraph" w:styleId="Tijeloteksta-uvlaka2">
    <w:name w:val="Body Text Indent 2"/>
    <w:basedOn w:val="Normal"/>
    <w:link w:val="Tijeloteksta-uvlaka2Char"/>
    <w:rsid w:val="00FE1008"/>
    <w:pPr>
      <w:spacing w:after="120" w:line="480" w:lineRule="auto"/>
      <w:ind w:left="283"/>
    </w:pPr>
    <w:rPr>
      <w:sz w:val="24"/>
      <w:szCs w:val="24"/>
    </w:rPr>
  </w:style>
  <w:style w:type="character" w:customStyle="1" w:styleId="Tijeloteksta-uvlaka2Char1">
    <w:name w:val="Tijelo teksta - uvlaka 2 Char1"/>
    <w:basedOn w:val="Zadanifontodlomka"/>
    <w:uiPriority w:val="99"/>
    <w:semiHidden/>
    <w:rsid w:val="00FE1008"/>
  </w:style>
  <w:style w:type="character" w:customStyle="1" w:styleId="BodyTextIndentChar1">
    <w:name w:val="Body Text Indent Char1"/>
    <w:rsid w:val="00FE1008"/>
    <w:rPr>
      <w:sz w:val="24"/>
      <w:szCs w:val="24"/>
      <w:lang w:val="hr-HR" w:eastAsia="hr-HR" w:bidi="ar-SA"/>
    </w:rPr>
  </w:style>
  <w:style w:type="paragraph" w:styleId="Adresaomotnice">
    <w:name w:val="envelope address"/>
    <w:basedOn w:val="Normal"/>
    <w:rsid w:val="00FE1008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Heading2Char">
    <w:name w:val="Heading 2 Char"/>
    <w:rsid w:val="00FE1008"/>
    <w:rPr>
      <w:b/>
      <w:sz w:val="24"/>
      <w:lang w:val="en-US" w:eastAsia="en-US" w:bidi="ar-SA"/>
    </w:rPr>
  </w:style>
  <w:style w:type="paragraph" w:styleId="Tijeloteksta3">
    <w:name w:val="Body Text 3"/>
    <w:basedOn w:val="Normal"/>
    <w:link w:val="Tijeloteksta3Char"/>
    <w:rsid w:val="00FE100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ijeloteksta3Char">
    <w:name w:val="Tijelo teksta 3 Char"/>
    <w:basedOn w:val="Zadanifontodlomka"/>
    <w:link w:val="Tijeloteksta3"/>
    <w:rsid w:val="00FE1008"/>
    <w:rPr>
      <w:rFonts w:ascii="Times New Roman" w:eastAsia="Times New Roman" w:hAnsi="Times New Roman" w:cs="Times New Roman"/>
      <w:sz w:val="16"/>
      <w:szCs w:val="16"/>
    </w:rPr>
  </w:style>
  <w:style w:type="paragraph" w:customStyle="1" w:styleId="p4">
    <w:name w:val="p4"/>
    <w:basedOn w:val="Normal"/>
    <w:rsid w:val="00FE1008"/>
    <w:pPr>
      <w:tabs>
        <w:tab w:val="left" w:pos="200"/>
      </w:tabs>
      <w:spacing w:after="0" w:line="280" w:lineRule="atLeast"/>
    </w:pPr>
    <w:rPr>
      <w:rFonts w:ascii="Times New Roman" w:eastAsia="Times New Roman" w:hAnsi="Times New Roman" w:cs="Times New Roman"/>
      <w:snapToGrid w:val="0"/>
      <w:sz w:val="24"/>
      <w:szCs w:val="20"/>
      <w:lang w:val="de-DE" w:eastAsia="de-DE"/>
    </w:rPr>
  </w:style>
  <w:style w:type="paragraph" w:customStyle="1" w:styleId="glavni">
    <w:name w:val="glavni"/>
    <w:basedOn w:val="Normal"/>
    <w:rsid w:val="00FE1008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Char4">
    <w:name w:val="Char4"/>
    <w:rsid w:val="00FE1008"/>
    <w:rPr>
      <w:rFonts w:ascii="Arial" w:hAnsi="Arial" w:cs="Arial"/>
      <w:sz w:val="22"/>
      <w:szCs w:val="22"/>
      <w:lang w:val="hr-HR" w:eastAsia="en-US" w:bidi="ar-SA"/>
    </w:rPr>
  </w:style>
  <w:style w:type="paragraph" w:styleId="Tekstkomentara">
    <w:name w:val="annotation text"/>
    <w:basedOn w:val="Normal"/>
    <w:link w:val="TekstkomentaraChar"/>
    <w:rsid w:val="00FE10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TekstkomentaraChar">
    <w:name w:val="Tekst komentara Char"/>
    <w:basedOn w:val="Zadanifontodlomka"/>
    <w:link w:val="Tekstkomentara"/>
    <w:rsid w:val="00FE1008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rsid w:val="00FE1008"/>
    <w:rPr>
      <w:b/>
      <w:bCs/>
      <w:sz w:val="24"/>
      <w:szCs w:val="24"/>
      <w:lang w:eastAsia="en-US"/>
    </w:rPr>
  </w:style>
  <w:style w:type="character" w:customStyle="1" w:styleId="PredmetkomentaraChar">
    <w:name w:val="Predmet komentara Char"/>
    <w:basedOn w:val="TekstkomentaraChar"/>
    <w:link w:val="Predmetkomentara"/>
    <w:rsid w:val="00FE1008"/>
    <w:rPr>
      <w:rFonts w:ascii="Times New Roman" w:eastAsia="Times New Roman" w:hAnsi="Times New Roman" w:cs="Times New Roman"/>
      <w:b/>
      <w:bCs/>
      <w:sz w:val="24"/>
      <w:szCs w:val="24"/>
      <w:lang w:eastAsia="hr-HR"/>
    </w:rPr>
  </w:style>
  <w:style w:type="paragraph" w:styleId="Popis">
    <w:name w:val="List"/>
    <w:basedOn w:val="Normal"/>
    <w:rsid w:val="00FE100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2">
    <w:name w:val="List Bullet 2"/>
    <w:basedOn w:val="Normal"/>
    <w:autoRedefine/>
    <w:rsid w:val="00FE1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2">
    <w:name w:val="List Continue 2"/>
    <w:basedOn w:val="Normal"/>
    <w:rsid w:val="00FE1008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">
    <w:name w:val="List Bullet"/>
    <w:basedOn w:val="Normal"/>
    <w:rsid w:val="00FE1008"/>
    <w:pPr>
      <w:numPr>
        <w:numId w:val="27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opis2">
    <w:name w:val="List 2"/>
    <w:basedOn w:val="Normal"/>
    <w:rsid w:val="00FE1008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pis3">
    <w:name w:val="List 3"/>
    <w:basedOn w:val="Normal"/>
    <w:rsid w:val="00FE100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Grafikeoznake3">
    <w:name w:val="List Bullet 3"/>
    <w:basedOn w:val="Normal"/>
    <w:autoRedefine/>
    <w:rsid w:val="00FE1008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3">
    <w:name w:val="List Continue 3"/>
    <w:basedOn w:val="Normal"/>
    <w:rsid w:val="00FE1008"/>
    <w:pPr>
      <w:spacing w:after="120" w:line="240" w:lineRule="auto"/>
      <w:ind w:left="849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tavakpopisa">
    <w:name w:val="List Continue"/>
    <w:basedOn w:val="Normal"/>
    <w:rsid w:val="00FE100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pisslike">
    <w:name w:val="caption"/>
    <w:basedOn w:val="Normal"/>
    <w:next w:val="Normal"/>
    <w:qFormat/>
    <w:rsid w:val="00FE1008"/>
    <w:pPr>
      <w:spacing w:before="120" w:after="12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Naslov">
    <w:name w:val="Title"/>
    <w:basedOn w:val="Normal"/>
    <w:link w:val="NaslovChar"/>
    <w:qFormat/>
    <w:rsid w:val="00FE1008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character" w:customStyle="1" w:styleId="NaslovChar">
    <w:name w:val="Naslov Char"/>
    <w:basedOn w:val="Zadanifontodlomka"/>
    <w:link w:val="Naslov"/>
    <w:rsid w:val="00FE1008"/>
    <w:rPr>
      <w:rFonts w:ascii="Arial" w:eastAsia="Times New Roman" w:hAnsi="Arial" w:cs="Arial"/>
      <w:b/>
      <w:bCs/>
      <w:kern w:val="28"/>
      <w:sz w:val="32"/>
      <w:szCs w:val="32"/>
      <w:lang w:eastAsia="hr-HR"/>
    </w:rPr>
  </w:style>
  <w:style w:type="paragraph" w:styleId="Podnaslov">
    <w:name w:val="Subtitle"/>
    <w:basedOn w:val="Normal"/>
    <w:link w:val="PodnaslovChar"/>
    <w:qFormat/>
    <w:rsid w:val="00FE1008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rsid w:val="00FE1008"/>
    <w:rPr>
      <w:rFonts w:ascii="Arial" w:eastAsia="Times New Roman" w:hAnsi="Arial" w:cs="Arial"/>
      <w:sz w:val="24"/>
      <w:szCs w:val="24"/>
      <w:lang w:eastAsia="hr-HR"/>
    </w:rPr>
  </w:style>
  <w:style w:type="paragraph" w:styleId="Obinouvueno">
    <w:name w:val="Normal Indent"/>
    <w:basedOn w:val="Normal"/>
    <w:rsid w:val="00FE100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O">
    <w:name w:val="Oč"/>
    <w:basedOn w:val="Tijeloteksta3"/>
    <w:rsid w:val="00FE1008"/>
  </w:style>
  <w:style w:type="paragraph" w:customStyle="1" w:styleId="anormal0">
    <w:name w:val="anormal"/>
    <w:basedOn w:val="Normal"/>
    <w:rsid w:val="00FE100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hr-HR"/>
    </w:rPr>
  </w:style>
  <w:style w:type="character" w:customStyle="1" w:styleId="KartadokumentaChar">
    <w:name w:val="Karta dokumenta Char"/>
    <w:link w:val="Kartadokumenta"/>
    <w:semiHidden/>
    <w:rsid w:val="00FE1008"/>
    <w:rPr>
      <w:sz w:val="24"/>
      <w:szCs w:val="24"/>
      <w:shd w:val="clear" w:color="auto" w:fill="000080"/>
      <w:lang w:eastAsia="hr-HR"/>
    </w:rPr>
  </w:style>
  <w:style w:type="paragraph" w:customStyle="1" w:styleId="Style1">
    <w:name w:val="Style1"/>
    <w:basedOn w:val="Normal"/>
    <w:link w:val="Style1Char"/>
    <w:rsid w:val="00FE1008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Style1Char">
    <w:name w:val="Style1 Char"/>
    <w:link w:val="Style1"/>
    <w:rsid w:val="00FE1008"/>
    <w:rPr>
      <w:rFonts w:ascii="Times New Roman" w:eastAsia="Times New Roman" w:hAnsi="Times New Roman" w:cs="Times New Roman"/>
      <w:i/>
      <w:sz w:val="24"/>
      <w:szCs w:val="24"/>
    </w:rPr>
  </w:style>
  <w:style w:type="character" w:styleId="Referencakomentara">
    <w:name w:val="annotation reference"/>
    <w:semiHidden/>
    <w:rsid w:val="00FE1008"/>
    <w:rPr>
      <w:sz w:val="16"/>
      <w:szCs w:val="16"/>
    </w:rPr>
  </w:style>
  <w:style w:type="character" w:customStyle="1" w:styleId="uvlaka2CharChar">
    <w:name w:val="uvlaka 2 Char Char"/>
    <w:rsid w:val="00FE1008"/>
    <w:rPr>
      <w:sz w:val="24"/>
      <w:szCs w:val="24"/>
      <w:lang w:val="hr-HR" w:eastAsia="en-US" w:bidi="ar-SA"/>
    </w:rPr>
  </w:style>
  <w:style w:type="character" w:customStyle="1" w:styleId="apple-style-span">
    <w:name w:val="apple-style-span"/>
    <w:rsid w:val="00FE1008"/>
    <w:rPr>
      <w:rFonts w:cs="Times New Roman"/>
    </w:rPr>
  </w:style>
  <w:style w:type="paragraph" w:styleId="Blokteksta">
    <w:name w:val="Block Text"/>
    <w:basedOn w:val="Normal"/>
    <w:rsid w:val="00FE1008"/>
    <w:pPr>
      <w:tabs>
        <w:tab w:val="left" w:pos="4301"/>
      </w:tabs>
      <w:spacing w:after="0" w:line="240" w:lineRule="auto"/>
      <w:ind w:left="4301" w:right="1573"/>
    </w:pPr>
    <w:rPr>
      <w:rFonts w:ascii="Arial" w:eastAsia="Times New Roman" w:hAnsi="Arial" w:cs="Times New Roman"/>
      <w:b/>
      <w:sz w:val="24"/>
      <w:szCs w:val="20"/>
      <w:lang w:val="en-GB" w:eastAsia="en-GB"/>
    </w:rPr>
  </w:style>
  <w:style w:type="paragraph" w:styleId="Tekstfusnote">
    <w:name w:val="footnote text"/>
    <w:basedOn w:val="Normal"/>
    <w:link w:val="TekstfusnoteChar"/>
    <w:semiHidden/>
    <w:rsid w:val="00FE1008"/>
    <w:pPr>
      <w:spacing w:after="0" w:line="240" w:lineRule="auto"/>
    </w:pPr>
    <w:rPr>
      <w:rFonts w:ascii="Times" w:eastAsia="Times New Roman" w:hAnsi="Times" w:cs="Times New Roman"/>
      <w:sz w:val="24"/>
      <w:szCs w:val="20"/>
      <w:lang w:val="en-GB" w:eastAsia="en-GB"/>
    </w:rPr>
  </w:style>
  <w:style w:type="character" w:customStyle="1" w:styleId="TekstfusnoteChar">
    <w:name w:val="Tekst fusnote Char"/>
    <w:basedOn w:val="Zadanifontodlomka"/>
    <w:link w:val="Tekstfusnote"/>
    <w:semiHidden/>
    <w:rsid w:val="00FE1008"/>
    <w:rPr>
      <w:rFonts w:ascii="Times" w:eastAsia="Times New Roman" w:hAnsi="Times" w:cs="Times New Roman"/>
      <w:sz w:val="24"/>
      <w:szCs w:val="20"/>
      <w:lang w:val="en-GB" w:eastAsia="en-GB"/>
    </w:rPr>
  </w:style>
  <w:style w:type="paragraph" w:customStyle="1" w:styleId="HTMLPreformatted1">
    <w:name w:val="HTML Preformatted1"/>
    <w:basedOn w:val="Normal"/>
    <w:rsid w:val="00FE10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bidi="he-IL"/>
    </w:rPr>
  </w:style>
  <w:style w:type="paragraph" w:customStyle="1" w:styleId="sporedni">
    <w:name w:val="sporedni"/>
    <w:basedOn w:val="Style1"/>
    <w:rsid w:val="00FE1008"/>
    <w:pPr>
      <w:numPr>
        <w:ilvl w:val="1"/>
        <w:numId w:val="1"/>
      </w:numPr>
    </w:pPr>
    <w:rPr>
      <w:b/>
      <w:bCs/>
      <w:i w:val="0"/>
    </w:rPr>
  </w:style>
  <w:style w:type="paragraph" w:customStyle="1" w:styleId="terapija">
    <w:name w:val="terapija"/>
    <w:basedOn w:val="Style1"/>
    <w:rsid w:val="00FE1008"/>
    <w:pPr>
      <w:numPr>
        <w:numId w:val="5"/>
      </w:numPr>
      <w:tabs>
        <w:tab w:val="num" w:pos="1440"/>
      </w:tabs>
      <w:ind w:left="1440"/>
    </w:pPr>
    <w:rPr>
      <w:i w:val="0"/>
    </w:rPr>
  </w:style>
  <w:style w:type="paragraph" w:styleId="Odlomakpopisa">
    <w:name w:val="List Paragraph"/>
    <w:basedOn w:val="Normal"/>
    <w:qFormat/>
    <w:rsid w:val="00FE100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ecxmsonormal">
    <w:name w:val="ecxmsonormal"/>
    <w:basedOn w:val="Normal"/>
    <w:rsid w:val="00FE1008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dyTextIndentChar">
    <w:name w:val="Body Text Indent Char"/>
    <w:rsid w:val="00FE1008"/>
    <w:rPr>
      <w:sz w:val="24"/>
      <w:szCs w:val="24"/>
      <w:lang w:eastAsia="en-US"/>
    </w:rPr>
  </w:style>
  <w:style w:type="character" w:customStyle="1" w:styleId="aNormalChar">
    <w:name w:val="aNormal Char"/>
    <w:link w:val="aNormal"/>
    <w:rsid w:val="00FE1008"/>
    <w:rPr>
      <w:rFonts w:ascii="Arial" w:eastAsia="Times New Roman" w:hAnsi="Arial" w:cs="Arial"/>
      <w:lang w:val="pl-PL"/>
    </w:rPr>
  </w:style>
  <w:style w:type="paragraph" w:styleId="Kartadokumenta">
    <w:name w:val="Document Map"/>
    <w:basedOn w:val="Normal"/>
    <w:link w:val="KartadokumentaChar"/>
    <w:semiHidden/>
    <w:rsid w:val="00FE1008"/>
    <w:pPr>
      <w:shd w:val="clear" w:color="auto" w:fill="000080"/>
      <w:spacing w:after="0" w:line="240" w:lineRule="auto"/>
    </w:pPr>
    <w:rPr>
      <w:sz w:val="24"/>
      <w:szCs w:val="24"/>
      <w:lang w:eastAsia="hr-HR"/>
    </w:rPr>
  </w:style>
  <w:style w:type="character" w:customStyle="1" w:styleId="KartadokumentaChar1">
    <w:name w:val="Karta dokumenta Char1"/>
    <w:basedOn w:val="Zadanifontodlomka"/>
    <w:uiPriority w:val="99"/>
    <w:semiHidden/>
    <w:rsid w:val="00FE1008"/>
    <w:rPr>
      <w:rFonts w:ascii="Segoe UI" w:hAnsi="Segoe UI" w:cs="Segoe UI"/>
      <w:sz w:val="16"/>
      <w:szCs w:val="16"/>
    </w:rPr>
  </w:style>
  <w:style w:type="character" w:customStyle="1" w:styleId="Char2">
    <w:name w:val="Char2"/>
    <w:rsid w:val="00FE1008"/>
    <w:rPr>
      <w:sz w:val="24"/>
      <w:szCs w:val="24"/>
      <w:lang w:val="hr-HR" w:eastAsia="hr-HR" w:bidi="ar-SA"/>
    </w:rPr>
  </w:style>
  <w:style w:type="character" w:customStyle="1" w:styleId="Heading3Char">
    <w:name w:val="Heading 3 Char"/>
    <w:rsid w:val="00FE1008"/>
    <w:rPr>
      <w:i/>
      <w:sz w:val="24"/>
      <w:lang w:val="en-US" w:eastAsia="en-US" w:bidi="ar-SA"/>
    </w:rPr>
  </w:style>
  <w:style w:type="paragraph" w:customStyle="1" w:styleId="PersonalInfo">
    <w:name w:val="Personal Info"/>
    <w:basedOn w:val="Achievement"/>
    <w:next w:val="Achievement"/>
    <w:rsid w:val="00FE1008"/>
    <w:pPr>
      <w:numPr>
        <w:numId w:val="32"/>
      </w:numPr>
      <w:spacing w:before="220"/>
      <w:ind w:left="245" w:hanging="245"/>
    </w:pPr>
  </w:style>
  <w:style w:type="paragraph" w:customStyle="1" w:styleId="Achievement">
    <w:name w:val="Achievement"/>
    <w:basedOn w:val="Tijeloteksta"/>
    <w:rsid w:val="00FE1008"/>
    <w:pPr>
      <w:tabs>
        <w:tab w:val="num" w:pos="540"/>
      </w:tabs>
      <w:spacing w:after="60" w:line="240" w:lineRule="atLeast"/>
      <w:ind w:left="540" w:hanging="540"/>
      <w:jc w:val="both"/>
    </w:pPr>
    <w:rPr>
      <w:rFonts w:ascii="Garamond" w:hAnsi="Garamond"/>
      <w:sz w:val="22"/>
      <w:szCs w:val="20"/>
      <w:lang w:val="en-US" w:eastAsia="en-US"/>
    </w:rPr>
  </w:style>
  <w:style w:type="paragraph" w:customStyle="1" w:styleId="standardweb10">
    <w:name w:val="standardweb1"/>
    <w:basedOn w:val="Normal"/>
    <w:rsid w:val="00FE10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Default">
    <w:name w:val="Default"/>
    <w:rsid w:val="00FE1008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paragraph" w:customStyle="1" w:styleId="t-9-8-bez-uvl">
    <w:name w:val="t-9-8-bez-uvl"/>
    <w:basedOn w:val="Normal"/>
    <w:rsid w:val="00000A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bold">
    <w:name w:val="bold"/>
    <w:basedOn w:val="Zadanifontodlomka"/>
    <w:rsid w:val="00000A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46</Pages>
  <Words>10528</Words>
  <Characters>60014</Characters>
  <Application>Microsoft Office Word</Application>
  <DocSecurity>0</DocSecurity>
  <Lines>500</Lines>
  <Paragraphs>140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Pravdić Ana</dc:creator>
  <cp:keywords/>
  <dc:description/>
  <cp:lastModifiedBy>Pravdić Ana</cp:lastModifiedBy>
  <cp:revision>5</cp:revision>
  <dcterms:created xsi:type="dcterms:W3CDTF">2019-11-13T12:39:00Z</dcterms:created>
  <dcterms:modified xsi:type="dcterms:W3CDTF">2020-02-05T08:06:00Z</dcterms:modified>
</cp:coreProperties>
</file>